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284B0" w14:textId="77777777" w:rsidR="00AF697D" w:rsidRPr="00EE7081" w:rsidRDefault="00AF697D" w:rsidP="00EA0734">
      <w:pPr>
        <w:keepLines/>
        <w:jc w:val="center"/>
        <w:rPr>
          <w:b/>
          <w:caps/>
        </w:rPr>
      </w:pPr>
    </w:p>
    <w:p w14:paraId="74595051" w14:textId="77777777" w:rsidR="00E3351C" w:rsidRPr="00EE7081" w:rsidRDefault="0022171C" w:rsidP="00EA0734">
      <w:pPr>
        <w:keepLines/>
        <w:jc w:val="center"/>
        <w:rPr>
          <w:b/>
          <w:caps/>
        </w:rPr>
      </w:pPr>
      <w:r w:rsidRPr="00EE7081">
        <w:rPr>
          <w:noProof/>
          <w:color w:val="2B579A"/>
          <w:shd w:val="clear" w:color="auto" w:fill="E6E6E6"/>
        </w:rPr>
        <w:drawing>
          <wp:anchor distT="0" distB="0" distL="114300" distR="114300" simplePos="0" relativeHeight="251658240" behindDoc="0" locked="0" layoutInCell="1" allowOverlap="1" wp14:anchorId="64AD5155" wp14:editId="6816122D">
            <wp:simplePos x="0" y="0"/>
            <wp:positionH relativeFrom="column">
              <wp:posOffset>533400</wp:posOffset>
            </wp:positionH>
            <wp:positionV relativeFrom="paragraph">
              <wp:posOffset>88265</wp:posOffset>
            </wp:positionV>
            <wp:extent cx="5095875" cy="127381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95875" cy="1273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6B2159" w14:textId="77777777" w:rsidR="00E3351C" w:rsidRPr="00EE7081" w:rsidRDefault="00E3351C" w:rsidP="00EA0734">
      <w:pPr>
        <w:keepLines/>
        <w:jc w:val="center"/>
        <w:rPr>
          <w:caps/>
        </w:rPr>
      </w:pPr>
    </w:p>
    <w:p w14:paraId="25EB18CB" w14:textId="77777777" w:rsidR="00AF697D" w:rsidRPr="00EE7081" w:rsidRDefault="00AF697D" w:rsidP="00EA0734">
      <w:pPr>
        <w:keepLines/>
        <w:rPr>
          <w:caps/>
        </w:rPr>
      </w:pPr>
    </w:p>
    <w:p w14:paraId="4722E5D5" w14:textId="77777777" w:rsidR="00906509" w:rsidRPr="00EE7081" w:rsidRDefault="00906509" w:rsidP="00EA0734">
      <w:pPr>
        <w:keepLines/>
        <w:jc w:val="center"/>
        <w:rPr>
          <w:b/>
        </w:rPr>
      </w:pPr>
    </w:p>
    <w:p w14:paraId="5EBC2681" w14:textId="77777777" w:rsidR="006A7978" w:rsidRPr="00EE7081" w:rsidRDefault="006A7978" w:rsidP="00EA0734">
      <w:pPr>
        <w:keepLines/>
        <w:jc w:val="center"/>
        <w:rPr>
          <w:b/>
        </w:rPr>
      </w:pPr>
    </w:p>
    <w:p w14:paraId="731E174D" w14:textId="77777777" w:rsidR="006A7978" w:rsidRPr="00EE7081" w:rsidRDefault="006A7978" w:rsidP="00EA0734">
      <w:pPr>
        <w:keepLines/>
        <w:jc w:val="center"/>
        <w:rPr>
          <w:b/>
        </w:rPr>
      </w:pPr>
    </w:p>
    <w:p w14:paraId="20D7FE2A" w14:textId="77777777" w:rsidR="00906509" w:rsidRPr="00EE7081" w:rsidRDefault="00906509" w:rsidP="00EA0734">
      <w:pPr>
        <w:keepLines/>
        <w:jc w:val="center"/>
        <w:rPr>
          <w:b/>
        </w:rPr>
      </w:pPr>
    </w:p>
    <w:p w14:paraId="4E61E2F8" w14:textId="77777777" w:rsidR="006A7978" w:rsidRPr="00146FDA" w:rsidRDefault="006A7978" w:rsidP="00EA0734">
      <w:pPr>
        <w:keepLines/>
        <w:jc w:val="center"/>
        <w:rPr>
          <w:b/>
          <w:sz w:val="36"/>
          <w:szCs w:val="36"/>
        </w:rPr>
      </w:pPr>
    </w:p>
    <w:p w14:paraId="4740D516" w14:textId="0772F690" w:rsidR="002A197A" w:rsidRPr="00146FDA" w:rsidRDefault="00146FDA" w:rsidP="00BE05DD">
      <w:pPr>
        <w:keepLines/>
        <w:tabs>
          <w:tab w:val="left" w:pos="5911"/>
        </w:tabs>
        <w:jc w:val="center"/>
        <w:rPr>
          <w:b/>
          <w:sz w:val="36"/>
          <w:szCs w:val="36"/>
        </w:rPr>
      </w:pPr>
      <w:r w:rsidRPr="00146FDA">
        <w:rPr>
          <w:b/>
          <w:sz w:val="36"/>
          <w:szCs w:val="36"/>
        </w:rPr>
        <w:t>Integrated English Literacy &amp; Civics Education</w:t>
      </w:r>
      <w:r w:rsidR="002A197A" w:rsidRPr="00146FDA">
        <w:rPr>
          <w:b/>
          <w:sz w:val="36"/>
          <w:szCs w:val="36"/>
        </w:rPr>
        <w:t xml:space="preserve"> Grant</w:t>
      </w:r>
    </w:p>
    <w:p w14:paraId="051C0F42" w14:textId="5572365A" w:rsidR="00F21111" w:rsidRPr="00146FDA" w:rsidRDefault="0096629E" w:rsidP="00EA0734">
      <w:pPr>
        <w:keepLines/>
        <w:jc w:val="center"/>
        <w:rPr>
          <w:b/>
          <w:sz w:val="36"/>
          <w:szCs w:val="36"/>
        </w:rPr>
      </w:pPr>
      <w:r w:rsidRPr="00146FDA">
        <w:rPr>
          <w:b/>
          <w:sz w:val="36"/>
          <w:szCs w:val="36"/>
        </w:rPr>
        <w:t xml:space="preserve">Request for </w:t>
      </w:r>
      <w:r w:rsidR="00B14F86" w:rsidRPr="00146FDA">
        <w:rPr>
          <w:b/>
          <w:sz w:val="36"/>
          <w:szCs w:val="36"/>
        </w:rPr>
        <w:t>Applications</w:t>
      </w:r>
      <w:r w:rsidR="00F21111" w:rsidRPr="00146FDA">
        <w:rPr>
          <w:b/>
          <w:sz w:val="36"/>
          <w:szCs w:val="36"/>
        </w:rPr>
        <w:t xml:space="preserve"> </w:t>
      </w:r>
      <w:r w:rsidR="00DF33EB" w:rsidRPr="00146FDA">
        <w:rPr>
          <w:b/>
          <w:sz w:val="36"/>
          <w:szCs w:val="36"/>
        </w:rPr>
        <w:t>&amp;</w:t>
      </w:r>
    </w:p>
    <w:p w14:paraId="20820030" w14:textId="77777777" w:rsidR="00AF697D" w:rsidRPr="00146FDA" w:rsidRDefault="008F0B18" w:rsidP="00EA0734">
      <w:pPr>
        <w:keepLines/>
        <w:jc w:val="center"/>
        <w:rPr>
          <w:b/>
          <w:sz w:val="36"/>
          <w:szCs w:val="36"/>
        </w:rPr>
      </w:pPr>
      <w:r w:rsidRPr="00146FDA">
        <w:rPr>
          <w:b/>
          <w:sz w:val="36"/>
          <w:szCs w:val="36"/>
        </w:rPr>
        <w:t xml:space="preserve">Grant </w:t>
      </w:r>
      <w:r w:rsidR="006F50AE" w:rsidRPr="00146FDA">
        <w:rPr>
          <w:b/>
          <w:sz w:val="36"/>
          <w:szCs w:val="36"/>
        </w:rPr>
        <w:t xml:space="preserve">Application </w:t>
      </w:r>
      <w:r w:rsidR="00906509" w:rsidRPr="00146FDA">
        <w:rPr>
          <w:b/>
          <w:sz w:val="36"/>
          <w:szCs w:val="36"/>
        </w:rPr>
        <w:t>Guide</w:t>
      </w:r>
    </w:p>
    <w:p w14:paraId="364E0788" w14:textId="3298E913" w:rsidR="00AF697D" w:rsidRPr="00146FDA" w:rsidRDefault="00E45E5A" w:rsidP="00EA0734">
      <w:pPr>
        <w:keepLines/>
        <w:jc w:val="center"/>
        <w:rPr>
          <w:b/>
          <w:sz w:val="36"/>
          <w:szCs w:val="36"/>
        </w:rPr>
      </w:pPr>
      <w:r w:rsidRPr="00146FDA">
        <w:rPr>
          <w:b/>
          <w:sz w:val="36"/>
          <w:szCs w:val="36"/>
        </w:rPr>
        <w:t>July 1, 2023</w:t>
      </w:r>
      <w:r w:rsidR="005E214E" w:rsidRPr="00146FDA">
        <w:rPr>
          <w:b/>
          <w:sz w:val="36"/>
          <w:szCs w:val="36"/>
        </w:rPr>
        <w:t xml:space="preserve"> </w:t>
      </w:r>
      <w:r w:rsidR="009D6C87" w:rsidRPr="00146FDA">
        <w:rPr>
          <w:b/>
          <w:sz w:val="36"/>
          <w:szCs w:val="36"/>
        </w:rPr>
        <w:t>– June 30, 202</w:t>
      </w:r>
      <w:r w:rsidRPr="00146FDA">
        <w:rPr>
          <w:b/>
          <w:sz w:val="36"/>
          <w:szCs w:val="36"/>
        </w:rPr>
        <w:t>7</w:t>
      </w:r>
    </w:p>
    <w:p w14:paraId="6A83BAEE" w14:textId="77777777" w:rsidR="0014200C" w:rsidRPr="00EE7081" w:rsidRDefault="0014200C" w:rsidP="00EA0734">
      <w:pPr>
        <w:keepLines/>
        <w:rPr>
          <w:b/>
        </w:rPr>
      </w:pPr>
    </w:p>
    <w:p w14:paraId="55262FA2" w14:textId="77777777" w:rsidR="006A7978" w:rsidRPr="00EE7081" w:rsidRDefault="006A7978" w:rsidP="00EA0734">
      <w:pPr>
        <w:keepLines/>
        <w:jc w:val="center"/>
        <w:rPr>
          <w:b/>
          <w:sz w:val="28"/>
        </w:rPr>
      </w:pPr>
    </w:p>
    <w:p w14:paraId="5AA72416" w14:textId="1A8C2B44" w:rsidR="00AF697D" w:rsidRPr="00EE7081" w:rsidRDefault="009A7775" w:rsidP="00EA0734">
      <w:pPr>
        <w:keepLines/>
        <w:jc w:val="center"/>
        <w:rPr>
          <w:b/>
          <w:sz w:val="28"/>
        </w:rPr>
      </w:pPr>
      <w:r w:rsidRPr="00EE7081">
        <w:rPr>
          <w:b/>
          <w:sz w:val="28"/>
        </w:rPr>
        <w:t>For</w:t>
      </w:r>
      <w:r w:rsidR="00AF697D" w:rsidRPr="00EE7081">
        <w:rPr>
          <w:b/>
          <w:sz w:val="28"/>
        </w:rPr>
        <w:t xml:space="preserve"> funding under the Workforce </w:t>
      </w:r>
      <w:r w:rsidR="007B41FE" w:rsidRPr="00EE7081">
        <w:rPr>
          <w:b/>
          <w:sz w:val="28"/>
        </w:rPr>
        <w:t>Innovation and Opportunity Act of 2014</w:t>
      </w:r>
      <w:r w:rsidR="00AF697D" w:rsidRPr="00EE7081">
        <w:rPr>
          <w:b/>
          <w:sz w:val="28"/>
        </w:rPr>
        <w:t>, Title II – Adult Ed</w:t>
      </w:r>
      <w:r w:rsidR="00DC587E" w:rsidRPr="00EE7081">
        <w:rPr>
          <w:b/>
          <w:sz w:val="28"/>
        </w:rPr>
        <w:t>ucation and Family Literacy Act</w:t>
      </w:r>
      <w:r w:rsidR="00DF33EB">
        <w:rPr>
          <w:b/>
          <w:sz w:val="28"/>
        </w:rPr>
        <w:t xml:space="preserve"> and Tennessee State Government</w:t>
      </w:r>
    </w:p>
    <w:p w14:paraId="592041D9" w14:textId="77777777" w:rsidR="00AF697D" w:rsidRPr="00EE7081" w:rsidRDefault="00AF697D" w:rsidP="00EA0734">
      <w:pPr>
        <w:keepLines/>
        <w:rPr>
          <w:b/>
          <w:caps/>
        </w:rPr>
      </w:pPr>
    </w:p>
    <w:p w14:paraId="012D786B" w14:textId="77777777" w:rsidR="007B5DD3" w:rsidRPr="00EE7081" w:rsidRDefault="007B5DD3" w:rsidP="00EA0734">
      <w:pPr>
        <w:keepLines/>
        <w:rPr>
          <w:b/>
          <w:caps/>
          <w:sz w:val="28"/>
        </w:rPr>
      </w:pPr>
    </w:p>
    <w:p w14:paraId="48714A75" w14:textId="77777777" w:rsidR="00AF697D" w:rsidRPr="00EE7081" w:rsidRDefault="009A7775" w:rsidP="00EA0734">
      <w:pPr>
        <w:keepLines/>
        <w:jc w:val="center"/>
        <w:rPr>
          <w:b/>
          <w:sz w:val="28"/>
        </w:rPr>
      </w:pPr>
      <w:r w:rsidRPr="00EE7081">
        <w:rPr>
          <w:b/>
          <w:sz w:val="28"/>
        </w:rPr>
        <w:t xml:space="preserve">Application </w:t>
      </w:r>
      <w:r w:rsidR="00AF697D" w:rsidRPr="00EE7081">
        <w:rPr>
          <w:b/>
          <w:sz w:val="28"/>
        </w:rPr>
        <w:t>Due Date:</w:t>
      </w:r>
    </w:p>
    <w:p w14:paraId="3D423D14" w14:textId="42575E3B" w:rsidR="00AF697D" w:rsidRPr="00EE7081" w:rsidRDefault="00466927" w:rsidP="00EA0734">
      <w:pPr>
        <w:keepLines/>
        <w:jc w:val="center"/>
        <w:rPr>
          <w:b/>
          <w:sz w:val="28"/>
        </w:rPr>
      </w:pPr>
      <w:r>
        <w:rPr>
          <w:b/>
          <w:sz w:val="28"/>
        </w:rPr>
        <w:t>April 6</w:t>
      </w:r>
      <w:r w:rsidR="00C93765">
        <w:rPr>
          <w:b/>
          <w:sz w:val="28"/>
        </w:rPr>
        <w:t>, 202</w:t>
      </w:r>
      <w:r w:rsidR="00536C18">
        <w:rPr>
          <w:b/>
          <w:sz w:val="28"/>
        </w:rPr>
        <w:t>3</w:t>
      </w:r>
    </w:p>
    <w:p w14:paraId="312DEDA7" w14:textId="6C753EAA" w:rsidR="00AF697D" w:rsidRPr="00EE7081" w:rsidRDefault="005E5401" w:rsidP="00EA0734">
      <w:pPr>
        <w:keepLines/>
        <w:jc w:val="center"/>
        <w:rPr>
          <w:b/>
          <w:sz w:val="28"/>
        </w:rPr>
      </w:pPr>
      <w:r>
        <w:rPr>
          <w:b/>
          <w:sz w:val="28"/>
        </w:rPr>
        <w:t>5</w:t>
      </w:r>
      <w:r w:rsidR="00394992" w:rsidRPr="00EE7081">
        <w:rPr>
          <w:b/>
          <w:sz w:val="28"/>
        </w:rPr>
        <w:t>:0</w:t>
      </w:r>
      <w:r w:rsidR="007B41FE" w:rsidRPr="00EE7081">
        <w:rPr>
          <w:b/>
          <w:sz w:val="28"/>
        </w:rPr>
        <w:t xml:space="preserve">0 PM Central </w:t>
      </w:r>
      <w:r w:rsidR="00AF697D" w:rsidRPr="00EE7081">
        <w:rPr>
          <w:b/>
          <w:sz w:val="28"/>
        </w:rPr>
        <w:t>Time</w:t>
      </w:r>
    </w:p>
    <w:p w14:paraId="4A02DAC9" w14:textId="77777777" w:rsidR="00E43EAB" w:rsidRPr="00EE7081" w:rsidRDefault="00E43EAB" w:rsidP="00EA0734">
      <w:pPr>
        <w:keepLines/>
        <w:jc w:val="center"/>
        <w:rPr>
          <w:sz w:val="28"/>
        </w:rPr>
      </w:pPr>
    </w:p>
    <w:p w14:paraId="6A9036EB" w14:textId="77777777" w:rsidR="00747E2E" w:rsidRPr="00EE7081" w:rsidRDefault="00747E2E" w:rsidP="00EA0734">
      <w:pPr>
        <w:keepLines/>
        <w:jc w:val="center"/>
        <w:rPr>
          <w:sz w:val="28"/>
        </w:rPr>
      </w:pPr>
    </w:p>
    <w:p w14:paraId="3997D6C6" w14:textId="0BC3F6C8" w:rsidR="007B5DD3" w:rsidRPr="00EE7081" w:rsidRDefault="00E43EAB" w:rsidP="00EA0734">
      <w:pPr>
        <w:keepLines/>
        <w:jc w:val="center"/>
        <w:rPr>
          <w:b/>
          <w:sz w:val="28"/>
        </w:rPr>
      </w:pPr>
      <w:r w:rsidRPr="00EE7081">
        <w:rPr>
          <w:b/>
          <w:sz w:val="28"/>
        </w:rPr>
        <w:t xml:space="preserve">Submit </w:t>
      </w:r>
      <w:r w:rsidR="00C93765">
        <w:rPr>
          <w:b/>
          <w:sz w:val="28"/>
        </w:rPr>
        <w:t xml:space="preserve">via email </w:t>
      </w:r>
      <w:r w:rsidRPr="00EE7081">
        <w:rPr>
          <w:b/>
          <w:sz w:val="28"/>
        </w:rPr>
        <w:t>to:</w:t>
      </w:r>
    </w:p>
    <w:p w14:paraId="2C1E41A9" w14:textId="77777777" w:rsidR="003C7A05" w:rsidRDefault="003C7A05" w:rsidP="00EA0734">
      <w:pPr>
        <w:keepLines/>
        <w:jc w:val="center"/>
        <w:rPr>
          <w:b/>
          <w:color w:val="000000"/>
          <w:sz w:val="28"/>
        </w:rPr>
      </w:pPr>
      <w:r>
        <w:rPr>
          <w:b/>
          <w:color w:val="000000"/>
          <w:sz w:val="28"/>
        </w:rPr>
        <w:t>TN Department of Labor &amp; Workforce Development</w:t>
      </w:r>
    </w:p>
    <w:p w14:paraId="2A57D0DB" w14:textId="77777777" w:rsidR="003C7A05" w:rsidRDefault="003C7A05" w:rsidP="00EA0734">
      <w:pPr>
        <w:keepLines/>
        <w:jc w:val="center"/>
        <w:rPr>
          <w:b/>
          <w:color w:val="000000"/>
          <w:sz w:val="28"/>
        </w:rPr>
      </w:pPr>
      <w:r>
        <w:rPr>
          <w:b/>
          <w:color w:val="000000"/>
          <w:sz w:val="28"/>
        </w:rPr>
        <w:t>Adult Education Division</w:t>
      </w:r>
    </w:p>
    <w:p w14:paraId="7E860088" w14:textId="54F9E2B1" w:rsidR="006C1ED1" w:rsidRDefault="006C1ED1" w:rsidP="00EA0734">
      <w:pPr>
        <w:keepLines/>
        <w:jc w:val="center"/>
        <w:rPr>
          <w:b/>
          <w:color w:val="000000"/>
          <w:sz w:val="28"/>
        </w:rPr>
      </w:pPr>
      <w:r w:rsidRPr="00EE7081">
        <w:rPr>
          <w:b/>
          <w:color w:val="000000"/>
          <w:sz w:val="28"/>
        </w:rPr>
        <w:t>Jay Baker</w:t>
      </w:r>
      <w:r w:rsidR="003C7A05">
        <w:rPr>
          <w:b/>
          <w:color w:val="000000"/>
          <w:sz w:val="28"/>
        </w:rPr>
        <w:t xml:space="preserve">, </w:t>
      </w:r>
      <w:r w:rsidR="00817ABD" w:rsidRPr="00EE7081">
        <w:rPr>
          <w:b/>
          <w:color w:val="000000"/>
          <w:sz w:val="28"/>
        </w:rPr>
        <w:t>Assistant Commissioner</w:t>
      </w:r>
    </w:p>
    <w:p w14:paraId="2588EE36" w14:textId="48DD01DF" w:rsidR="00C93765" w:rsidRDefault="00000000" w:rsidP="00C93765">
      <w:pPr>
        <w:keepLines/>
        <w:jc w:val="center"/>
        <w:rPr>
          <w:rStyle w:val="Hyperlink"/>
          <w:b/>
          <w:sz w:val="28"/>
        </w:rPr>
      </w:pPr>
      <w:hyperlink r:id="rId12" w:history="1">
        <w:r w:rsidR="001C69B5" w:rsidRPr="00AA76F0">
          <w:rPr>
            <w:rStyle w:val="Hyperlink"/>
            <w:b/>
            <w:sz w:val="28"/>
          </w:rPr>
          <w:t>Jay.Baker@tn.gov</w:t>
        </w:r>
      </w:hyperlink>
      <w:r w:rsidR="00C93765">
        <w:rPr>
          <w:rStyle w:val="Hyperlink"/>
          <w:b/>
          <w:sz w:val="28"/>
        </w:rPr>
        <w:t>;</w:t>
      </w:r>
    </w:p>
    <w:p w14:paraId="04F21E00" w14:textId="27DFE070" w:rsidR="001D1B0D" w:rsidRDefault="00C93765" w:rsidP="00C93765">
      <w:pPr>
        <w:keepLines/>
        <w:jc w:val="center"/>
        <w:rPr>
          <w:rStyle w:val="Hyperlink"/>
          <w:b/>
          <w:sz w:val="28"/>
        </w:rPr>
        <w:sectPr w:rsidR="001D1B0D" w:rsidSect="001D1B0D">
          <w:headerReference w:type="default" r:id="rId13"/>
          <w:footerReference w:type="default" r:id="rId14"/>
          <w:footerReference w:type="first" r:id="rId15"/>
          <w:pgSz w:w="12240" w:h="15840"/>
          <w:pgMar w:top="1440" w:right="1440" w:bottom="1440" w:left="1440" w:header="720" w:footer="720" w:gutter="0"/>
          <w:pgNumType w:start="0"/>
          <w:cols w:space="720"/>
          <w:titlePg/>
          <w:docGrid w:linePitch="360"/>
        </w:sectPr>
      </w:pPr>
      <w:r>
        <w:rPr>
          <w:b/>
          <w:color w:val="000000"/>
          <w:sz w:val="28"/>
        </w:rPr>
        <w:t xml:space="preserve">Cc: </w:t>
      </w:r>
      <w:hyperlink r:id="rId16" w:history="1">
        <w:r w:rsidR="001C69B5" w:rsidRPr="00AA76F0">
          <w:rPr>
            <w:rStyle w:val="Hyperlink"/>
            <w:b/>
            <w:sz w:val="28"/>
          </w:rPr>
          <w:t>TL.Smith@tn.gov</w:t>
        </w:r>
      </w:hyperlink>
      <w:r w:rsidR="001C69B5">
        <w:rPr>
          <w:rStyle w:val="Hyperlink"/>
          <w:b/>
          <w:sz w:val="28"/>
        </w:rPr>
        <w:t xml:space="preserve">; </w:t>
      </w:r>
      <w:hyperlink r:id="rId17" w:history="1">
        <w:r w:rsidR="001C69B5" w:rsidRPr="00AA76F0">
          <w:rPr>
            <w:rStyle w:val="Hyperlink"/>
            <w:b/>
            <w:sz w:val="28"/>
          </w:rPr>
          <w:t>LaToya.Newson@tn.gov</w:t>
        </w:r>
      </w:hyperlink>
      <w:r w:rsidR="001C69B5">
        <w:rPr>
          <w:rStyle w:val="Hyperlink"/>
          <w:b/>
          <w:sz w:val="28"/>
        </w:rPr>
        <w:t>; AdultEducation@tn.gov</w:t>
      </w:r>
    </w:p>
    <w:p w14:paraId="333CDF5B" w14:textId="14B314CF" w:rsidR="004B0F42" w:rsidRPr="00793C0D" w:rsidRDefault="004B0F42" w:rsidP="00EA0734">
      <w:pPr>
        <w:keepLines/>
        <w:rPr>
          <w:b/>
          <w:caps/>
          <w:sz w:val="28"/>
          <w:szCs w:val="28"/>
        </w:rPr>
      </w:pPr>
      <w:r w:rsidRPr="00793C0D">
        <w:rPr>
          <w:b/>
          <w:caps/>
          <w:sz w:val="28"/>
          <w:szCs w:val="28"/>
        </w:rPr>
        <w:lastRenderedPageBreak/>
        <w:t>Table of contents</w:t>
      </w:r>
    </w:p>
    <w:p w14:paraId="7ABDADDE" w14:textId="77777777" w:rsidR="004B0F42" w:rsidRPr="00EE7081" w:rsidRDefault="004B0F42" w:rsidP="00EA0734">
      <w:pPr>
        <w:keepLines/>
      </w:pPr>
    </w:p>
    <w:p w14:paraId="2F6DBF41" w14:textId="23D62428" w:rsidR="00C914DB" w:rsidRDefault="004B0F42">
      <w:pPr>
        <w:pStyle w:val="TOC1"/>
        <w:rPr>
          <w:rFonts w:asciiTheme="minorHAnsi" w:eastAsiaTheme="minorEastAsia" w:hAnsiTheme="minorHAnsi" w:cstheme="minorBidi"/>
          <w:bCs w:val="0"/>
          <w:caps w:val="0"/>
        </w:rPr>
      </w:pPr>
      <w:r w:rsidRPr="004064FD">
        <w:rPr>
          <w:b/>
          <w:color w:val="FF0000"/>
          <w:shd w:val="clear" w:color="auto" w:fill="E6E6E6"/>
        </w:rPr>
        <w:fldChar w:fldCharType="begin"/>
      </w:r>
      <w:r w:rsidRPr="004064FD">
        <w:rPr>
          <w:b/>
          <w:color w:val="FF0000"/>
        </w:rPr>
        <w:instrText xml:space="preserve"> TOC \o "1-2" \h \z \u </w:instrText>
      </w:r>
      <w:r w:rsidRPr="004064FD">
        <w:rPr>
          <w:b/>
          <w:color w:val="FF0000"/>
          <w:shd w:val="clear" w:color="auto" w:fill="E6E6E6"/>
        </w:rPr>
        <w:fldChar w:fldCharType="separate"/>
      </w:r>
      <w:hyperlink w:anchor="_Toc128579605" w:history="1">
        <w:r w:rsidR="00C914DB" w:rsidRPr="006B22FA">
          <w:rPr>
            <w:rStyle w:val="Hyperlink"/>
          </w:rPr>
          <w:t>SECTION 1 – GRANT OVERVIEW</w:t>
        </w:r>
        <w:r w:rsidR="00C914DB">
          <w:rPr>
            <w:webHidden/>
          </w:rPr>
          <w:tab/>
        </w:r>
        <w:r w:rsidR="00C914DB">
          <w:rPr>
            <w:webHidden/>
          </w:rPr>
          <w:fldChar w:fldCharType="begin"/>
        </w:r>
        <w:r w:rsidR="00C914DB">
          <w:rPr>
            <w:webHidden/>
          </w:rPr>
          <w:instrText xml:space="preserve"> PAGEREF _Toc128579605 \h </w:instrText>
        </w:r>
        <w:r w:rsidR="00C914DB">
          <w:rPr>
            <w:webHidden/>
          </w:rPr>
        </w:r>
        <w:r w:rsidR="00C914DB">
          <w:rPr>
            <w:webHidden/>
          </w:rPr>
          <w:fldChar w:fldCharType="separate"/>
        </w:r>
        <w:r w:rsidR="00C914DB">
          <w:rPr>
            <w:webHidden/>
          </w:rPr>
          <w:t>1</w:t>
        </w:r>
        <w:r w:rsidR="00C914DB">
          <w:rPr>
            <w:webHidden/>
          </w:rPr>
          <w:fldChar w:fldCharType="end"/>
        </w:r>
      </w:hyperlink>
    </w:p>
    <w:p w14:paraId="204EF98E" w14:textId="55AEED74" w:rsidR="00C914DB" w:rsidRDefault="00C914DB">
      <w:pPr>
        <w:pStyle w:val="TOC2"/>
        <w:rPr>
          <w:rFonts w:asciiTheme="minorHAnsi" w:eastAsiaTheme="minorEastAsia" w:hAnsiTheme="minorHAnsi" w:cstheme="minorBidi"/>
          <w:noProof/>
        </w:rPr>
      </w:pPr>
      <w:hyperlink w:anchor="_Toc128579606" w:history="1">
        <w:r w:rsidRPr="006B22FA">
          <w:rPr>
            <w:rStyle w:val="Hyperlink"/>
            <w:noProof/>
          </w:rPr>
          <w:t>Executive Summary</w:t>
        </w:r>
        <w:r>
          <w:rPr>
            <w:noProof/>
            <w:webHidden/>
          </w:rPr>
          <w:tab/>
        </w:r>
        <w:r>
          <w:rPr>
            <w:noProof/>
            <w:webHidden/>
          </w:rPr>
          <w:fldChar w:fldCharType="begin"/>
        </w:r>
        <w:r>
          <w:rPr>
            <w:noProof/>
            <w:webHidden/>
          </w:rPr>
          <w:instrText xml:space="preserve"> PAGEREF _Toc128579606 \h </w:instrText>
        </w:r>
        <w:r>
          <w:rPr>
            <w:noProof/>
            <w:webHidden/>
          </w:rPr>
        </w:r>
        <w:r>
          <w:rPr>
            <w:noProof/>
            <w:webHidden/>
          </w:rPr>
          <w:fldChar w:fldCharType="separate"/>
        </w:r>
        <w:r>
          <w:rPr>
            <w:noProof/>
            <w:webHidden/>
          </w:rPr>
          <w:t>1</w:t>
        </w:r>
        <w:r>
          <w:rPr>
            <w:noProof/>
            <w:webHidden/>
          </w:rPr>
          <w:fldChar w:fldCharType="end"/>
        </w:r>
      </w:hyperlink>
    </w:p>
    <w:p w14:paraId="10C8875E" w14:textId="72DA0B13" w:rsidR="00C914DB" w:rsidRDefault="00C914DB">
      <w:pPr>
        <w:pStyle w:val="TOC2"/>
        <w:rPr>
          <w:rFonts w:asciiTheme="minorHAnsi" w:eastAsiaTheme="minorEastAsia" w:hAnsiTheme="minorHAnsi" w:cstheme="minorBidi"/>
          <w:noProof/>
        </w:rPr>
      </w:pPr>
      <w:hyperlink w:anchor="_Toc128579607" w:history="1">
        <w:r w:rsidRPr="006B22FA">
          <w:rPr>
            <w:rStyle w:val="Hyperlink"/>
            <w:noProof/>
          </w:rPr>
          <w:t>Funding Opportunity for Integrated English literacy &amp; civics education</w:t>
        </w:r>
        <w:r>
          <w:rPr>
            <w:noProof/>
            <w:webHidden/>
          </w:rPr>
          <w:tab/>
        </w:r>
        <w:r>
          <w:rPr>
            <w:noProof/>
            <w:webHidden/>
          </w:rPr>
          <w:fldChar w:fldCharType="begin"/>
        </w:r>
        <w:r>
          <w:rPr>
            <w:noProof/>
            <w:webHidden/>
          </w:rPr>
          <w:instrText xml:space="preserve"> PAGEREF _Toc128579607 \h </w:instrText>
        </w:r>
        <w:r>
          <w:rPr>
            <w:noProof/>
            <w:webHidden/>
          </w:rPr>
        </w:r>
        <w:r>
          <w:rPr>
            <w:noProof/>
            <w:webHidden/>
          </w:rPr>
          <w:fldChar w:fldCharType="separate"/>
        </w:r>
        <w:r>
          <w:rPr>
            <w:noProof/>
            <w:webHidden/>
          </w:rPr>
          <w:t>2</w:t>
        </w:r>
        <w:r>
          <w:rPr>
            <w:noProof/>
            <w:webHidden/>
          </w:rPr>
          <w:fldChar w:fldCharType="end"/>
        </w:r>
      </w:hyperlink>
    </w:p>
    <w:p w14:paraId="77FDDF43" w14:textId="1FF77C97" w:rsidR="00C914DB" w:rsidRDefault="00C914DB">
      <w:pPr>
        <w:pStyle w:val="TOC2"/>
        <w:rPr>
          <w:rFonts w:asciiTheme="minorHAnsi" w:eastAsiaTheme="minorEastAsia" w:hAnsiTheme="minorHAnsi" w:cstheme="minorBidi"/>
          <w:noProof/>
        </w:rPr>
      </w:pPr>
      <w:hyperlink w:anchor="_Toc128579608" w:history="1">
        <w:r w:rsidRPr="006B22FA">
          <w:rPr>
            <w:rStyle w:val="Hyperlink"/>
            <w:noProof/>
          </w:rPr>
          <w:t>Prospective Applicants</w:t>
        </w:r>
        <w:r>
          <w:rPr>
            <w:noProof/>
            <w:webHidden/>
          </w:rPr>
          <w:tab/>
        </w:r>
        <w:r>
          <w:rPr>
            <w:noProof/>
            <w:webHidden/>
          </w:rPr>
          <w:fldChar w:fldCharType="begin"/>
        </w:r>
        <w:r>
          <w:rPr>
            <w:noProof/>
            <w:webHidden/>
          </w:rPr>
          <w:instrText xml:space="preserve"> PAGEREF _Toc128579608 \h </w:instrText>
        </w:r>
        <w:r>
          <w:rPr>
            <w:noProof/>
            <w:webHidden/>
          </w:rPr>
        </w:r>
        <w:r>
          <w:rPr>
            <w:noProof/>
            <w:webHidden/>
          </w:rPr>
          <w:fldChar w:fldCharType="separate"/>
        </w:r>
        <w:r>
          <w:rPr>
            <w:noProof/>
            <w:webHidden/>
          </w:rPr>
          <w:t>5</w:t>
        </w:r>
        <w:r>
          <w:rPr>
            <w:noProof/>
            <w:webHidden/>
          </w:rPr>
          <w:fldChar w:fldCharType="end"/>
        </w:r>
      </w:hyperlink>
    </w:p>
    <w:p w14:paraId="616AFD6E" w14:textId="79E6F6D5" w:rsidR="00C914DB" w:rsidRDefault="00C914DB">
      <w:pPr>
        <w:pStyle w:val="TOC1"/>
        <w:rPr>
          <w:rFonts w:asciiTheme="minorHAnsi" w:eastAsiaTheme="minorEastAsia" w:hAnsiTheme="minorHAnsi" w:cstheme="minorBidi"/>
          <w:bCs w:val="0"/>
          <w:caps w:val="0"/>
        </w:rPr>
      </w:pPr>
      <w:hyperlink w:anchor="_Toc128579609" w:history="1">
        <w:r w:rsidRPr="006B22FA">
          <w:rPr>
            <w:rStyle w:val="Hyperlink"/>
          </w:rPr>
          <w:t>SECTION 2 – IELCE Program overview</w:t>
        </w:r>
        <w:r>
          <w:rPr>
            <w:webHidden/>
          </w:rPr>
          <w:tab/>
        </w:r>
        <w:r>
          <w:rPr>
            <w:webHidden/>
          </w:rPr>
          <w:fldChar w:fldCharType="begin"/>
        </w:r>
        <w:r>
          <w:rPr>
            <w:webHidden/>
          </w:rPr>
          <w:instrText xml:space="preserve"> PAGEREF _Toc128579609 \h </w:instrText>
        </w:r>
        <w:r>
          <w:rPr>
            <w:webHidden/>
          </w:rPr>
        </w:r>
        <w:r>
          <w:rPr>
            <w:webHidden/>
          </w:rPr>
          <w:fldChar w:fldCharType="separate"/>
        </w:r>
        <w:r>
          <w:rPr>
            <w:webHidden/>
          </w:rPr>
          <w:t>7</w:t>
        </w:r>
        <w:r>
          <w:rPr>
            <w:webHidden/>
          </w:rPr>
          <w:fldChar w:fldCharType="end"/>
        </w:r>
      </w:hyperlink>
    </w:p>
    <w:p w14:paraId="60895AF9" w14:textId="43B871EE" w:rsidR="00C914DB" w:rsidRDefault="00C914DB">
      <w:pPr>
        <w:pStyle w:val="TOC2"/>
        <w:rPr>
          <w:rFonts w:asciiTheme="minorHAnsi" w:eastAsiaTheme="minorEastAsia" w:hAnsiTheme="minorHAnsi" w:cstheme="minorBidi"/>
          <w:noProof/>
        </w:rPr>
      </w:pPr>
      <w:hyperlink w:anchor="_Toc128579610" w:history="1">
        <w:r w:rsidRPr="006B22FA">
          <w:rPr>
            <w:rStyle w:val="Hyperlink"/>
            <w:noProof/>
          </w:rPr>
          <w:t>Participant Eligibility</w:t>
        </w:r>
        <w:r>
          <w:rPr>
            <w:noProof/>
            <w:webHidden/>
          </w:rPr>
          <w:tab/>
        </w:r>
        <w:r>
          <w:rPr>
            <w:noProof/>
            <w:webHidden/>
          </w:rPr>
          <w:fldChar w:fldCharType="begin"/>
        </w:r>
        <w:r>
          <w:rPr>
            <w:noProof/>
            <w:webHidden/>
          </w:rPr>
          <w:instrText xml:space="preserve"> PAGEREF _Toc128579610 \h </w:instrText>
        </w:r>
        <w:r>
          <w:rPr>
            <w:noProof/>
            <w:webHidden/>
          </w:rPr>
        </w:r>
        <w:r>
          <w:rPr>
            <w:noProof/>
            <w:webHidden/>
          </w:rPr>
          <w:fldChar w:fldCharType="separate"/>
        </w:r>
        <w:r>
          <w:rPr>
            <w:noProof/>
            <w:webHidden/>
          </w:rPr>
          <w:t>7</w:t>
        </w:r>
        <w:r>
          <w:rPr>
            <w:noProof/>
            <w:webHidden/>
          </w:rPr>
          <w:fldChar w:fldCharType="end"/>
        </w:r>
      </w:hyperlink>
    </w:p>
    <w:p w14:paraId="1073DF85" w14:textId="131221E8" w:rsidR="00C914DB" w:rsidRDefault="00C914DB">
      <w:pPr>
        <w:pStyle w:val="TOC2"/>
        <w:rPr>
          <w:rFonts w:asciiTheme="minorHAnsi" w:eastAsiaTheme="minorEastAsia" w:hAnsiTheme="minorHAnsi" w:cstheme="minorBidi"/>
          <w:noProof/>
        </w:rPr>
      </w:pPr>
      <w:hyperlink w:anchor="_Toc128579611" w:history="1">
        <w:r w:rsidRPr="006B22FA">
          <w:rPr>
            <w:rStyle w:val="Hyperlink"/>
            <w:noProof/>
          </w:rPr>
          <w:t>Program Activities and Services</w:t>
        </w:r>
        <w:r>
          <w:rPr>
            <w:noProof/>
            <w:webHidden/>
          </w:rPr>
          <w:tab/>
        </w:r>
        <w:r>
          <w:rPr>
            <w:noProof/>
            <w:webHidden/>
          </w:rPr>
          <w:fldChar w:fldCharType="begin"/>
        </w:r>
        <w:r>
          <w:rPr>
            <w:noProof/>
            <w:webHidden/>
          </w:rPr>
          <w:instrText xml:space="preserve"> PAGEREF _Toc128579611 \h </w:instrText>
        </w:r>
        <w:r>
          <w:rPr>
            <w:noProof/>
            <w:webHidden/>
          </w:rPr>
        </w:r>
        <w:r>
          <w:rPr>
            <w:noProof/>
            <w:webHidden/>
          </w:rPr>
          <w:fldChar w:fldCharType="separate"/>
        </w:r>
        <w:r>
          <w:rPr>
            <w:noProof/>
            <w:webHidden/>
          </w:rPr>
          <w:t>7</w:t>
        </w:r>
        <w:r>
          <w:rPr>
            <w:noProof/>
            <w:webHidden/>
          </w:rPr>
          <w:fldChar w:fldCharType="end"/>
        </w:r>
      </w:hyperlink>
    </w:p>
    <w:p w14:paraId="4852BBB8" w14:textId="27213855" w:rsidR="00C914DB" w:rsidRDefault="00C914DB">
      <w:pPr>
        <w:pStyle w:val="TOC1"/>
        <w:rPr>
          <w:rFonts w:asciiTheme="minorHAnsi" w:eastAsiaTheme="minorEastAsia" w:hAnsiTheme="minorHAnsi" w:cstheme="minorBidi"/>
          <w:bCs w:val="0"/>
          <w:caps w:val="0"/>
        </w:rPr>
      </w:pPr>
      <w:hyperlink w:anchor="_Toc128579612" w:history="1">
        <w:r w:rsidRPr="006B22FA">
          <w:rPr>
            <w:rStyle w:val="Hyperlink"/>
          </w:rPr>
          <w:t>Section 3 – performance REQUIREMENTS</w:t>
        </w:r>
        <w:r>
          <w:rPr>
            <w:webHidden/>
          </w:rPr>
          <w:tab/>
        </w:r>
        <w:r>
          <w:rPr>
            <w:webHidden/>
          </w:rPr>
          <w:fldChar w:fldCharType="begin"/>
        </w:r>
        <w:r>
          <w:rPr>
            <w:webHidden/>
          </w:rPr>
          <w:instrText xml:space="preserve"> PAGEREF _Toc128579612 \h </w:instrText>
        </w:r>
        <w:r>
          <w:rPr>
            <w:webHidden/>
          </w:rPr>
        </w:r>
        <w:r>
          <w:rPr>
            <w:webHidden/>
          </w:rPr>
          <w:fldChar w:fldCharType="separate"/>
        </w:r>
        <w:r>
          <w:rPr>
            <w:webHidden/>
          </w:rPr>
          <w:t>10</w:t>
        </w:r>
        <w:r>
          <w:rPr>
            <w:webHidden/>
          </w:rPr>
          <w:fldChar w:fldCharType="end"/>
        </w:r>
      </w:hyperlink>
    </w:p>
    <w:p w14:paraId="28F869D9" w14:textId="59EF257D" w:rsidR="00C914DB" w:rsidRDefault="00C914DB">
      <w:pPr>
        <w:pStyle w:val="TOC1"/>
        <w:rPr>
          <w:rFonts w:asciiTheme="minorHAnsi" w:eastAsiaTheme="minorEastAsia" w:hAnsiTheme="minorHAnsi" w:cstheme="minorBidi"/>
          <w:bCs w:val="0"/>
          <w:caps w:val="0"/>
        </w:rPr>
      </w:pPr>
      <w:hyperlink w:anchor="_Toc128579613" w:history="1">
        <w:r w:rsidRPr="006B22FA">
          <w:rPr>
            <w:rStyle w:val="Hyperlink"/>
          </w:rPr>
          <w:t>Section 4 – Administration REQUIREMENTS</w:t>
        </w:r>
        <w:r>
          <w:rPr>
            <w:webHidden/>
          </w:rPr>
          <w:tab/>
        </w:r>
        <w:r>
          <w:rPr>
            <w:webHidden/>
          </w:rPr>
          <w:fldChar w:fldCharType="begin"/>
        </w:r>
        <w:r>
          <w:rPr>
            <w:webHidden/>
          </w:rPr>
          <w:instrText xml:space="preserve"> PAGEREF _Toc128579613 \h </w:instrText>
        </w:r>
        <w:r>
          <w:rPr>
            <w:webHidden/>
          </w:rPr>
        </w:r>
        <w:r>
          <w:rPr>
            <w:webHidden/>
          </w:rPr>
          <w:fldChar w:fldCharType="separate"/>
        </w:r>
        <w:r>
          <w:rPr>
            <w:webHidden/>
          </w:rPr>
          <w:t>12</w:t>
        </w:r>
        <w:r>
          <w:rPr>
            <w:webHidden/>
          </w:rPr>
          <w:fldChar w:fldCharType="end"/>
        </w:r>
      </w:hyperlink>
    </w:p>
    <w:p w14:paraId="5D0161CD" w14:textId="47D1F9ED" w:rsidR="00C914DB" w:rsidRDefault="00C914DB">
      <w:pPr>
        <w:pStyle w:val="TOC2"/>
        <w:rPr>
          <w:rFonts w:asciiTheme="minorHAnsi" w:eastAsiaTheme="minorEastAsia" w:hAnsiTheme="minorHAnsi" w:cstheme="minorBidi"/>
          <w:noProof/>
        </w:rPr>
      </w:pPr>
      <w:hyperlink w:anchor="_Toc128579614" w:history="1">
        <w:r w:rsidRPr="006B22FA">
          <w:rPr>
            <w:rStyle w:val="Hyperlink"/>
            <w:noProof/>
          </w:rPr>
          <w:t>Fiscal Management</w:t>
        </w:r>
        <w:r>
          <w:rPr>
            <w:noProof/>
            <w:webHidden/>
          </w:rPr>
          <w:tab/>
        </w:r>
        <w:r>
          <w:rPr>
            <w:noProof/>
            <w:webHidden/>
          </w:rPr>
          <w:fldChar w:fldCharType="begin"/>
        </w:r>
        <w:r>
          <w:rPr>
            <w:noProof/>
            <w:webHidden/>
          </w:rPr>
          <w:instrText xml:space="preserve"> PAGEREF _Toc128579614 \h </w:instrText>
        </w:r>
        <w:r>
          <w:rPr>
            <w:noProof/>
            <w:webHidden/>
          </w:rPr>
        </w:r>
        <w:r>
          <w:rPr>
            <w:noProof/>
            <w:webHidden/>
          </w:rPr>
          <w:fldChar w:fldCharType="separate"/>
        </w:r>
        <w:r>
          <w:rPr>
            <w:noProof/>
            <w:webHidden/>
          </w:rPr>
          <w:t>12</w:t>
        </w:r>
        <w:r>
          <w:rPr>
            <w:noProof/>
            <w:webHidden/>
          </w:rPr>
          <w:fldChar w:fldCharType="end"/>
        </w:r>
      </w:hyperlink>
    </w:p>
    <w:p w14:paraId="1911E99D" w14:textId="573660EC" w:rsidR="00C914DB" w:rsidRDefault="00C914DB">
      <w:pPr>
        <w:pStyle w:val="TOC2"/>
        <w:rPr>
          <w:rFonts w:asciiTheme="minorHAnsi" w:eastAsiaTheme="minorEastAsia" w:hAnsiTheme="minorHAnsi" w:cstheme="minorBidi"/>
          <w:noProof/>
        </w:rPr>
      </w:pPr>
      <w:hyperlink w:anchor="_Toc128579615" w:history="1">
        <w:r w:rsidRPr="006B22FA">
          <w:rPr>
            <w:rStyle w:val="Hyperlink"/>
            <w:noProof/>
          </w:rPr>
          <w:t>Personnel</w:t>
        </w:r>
        <w:r>
          <w:rPr>
            <w:noProof/>
            <w:webHidden/>
          </w:rPr>
          <w:tab/>
        </w:r>
        <w:r>
          <w:rPr>
            <w:noProof/>
            <w:webHidden/>
          </w:rPr>
          <w:fldChar w:fldCharType="begin"/>
        </w:r>
        <w:r>
          <w:rPr>
            <w:noProof/>
            <w:webHidden/>
          </w:rPr>
          <w:instrText xml:space="preserve"> PAGEREF _Toc128579615 \h </w:instrText>
        </w:r>
        <w:r>
          <w:rPr>
            <w:noProof/>
            <w:webHidden/>
          </w:rPr>
        </w:r>
        <w:r>
          <w:rPr>
            <w:noProof/>
            <w:webHidden/>
          </w:rPr>
          <w:fldChar w:fldCharType="separate"/>
        </w:r>
        <w:r>
          <w:rPr>
            <w:noProof/>
            <w:webHidden/>
          </w:rPr>
          <w:t>16</w:t>
        </w:r>
        <w:r>
          <w:rPr>
            <w:noProof/>
            <w:webHidden/>
          </w:rPr>
          <w:fldChar w:fldCharType="end"/>
        </w:r>
      </w:hyperlink>
    </w:p>
    <w:p w14:paraId="5F3BF457" w14:textId="4B882024" w:rsidR="00C914DB" w:rsidRDefault="00C914DB">
      <w:pPr>
        <w:pStyle w:val="TOC2"/>
        <w:rPr>
          <w:rFonts w:asciiTheme="minorHAnsi" w:eastAsiaTheme="minorEastAsia" w:hAnsiTheme="minorHAnsi" w:cstheme="minorBidi"/>
          <w:noProof/>
        </w:rPr>
      </w:pPr>
      <w:hyperlink w:anchor="_Toc128579616" w:history="1">
        <w:r w:rsidRPr="006B22FA">
          <w:rPr>
            <w:rStyle w:val="Hyperlink"/>
            <w:noProof/>
          </w:rPr>
          <w:t>Data Entry</w:t>
        </w:r>
        <w:r>
          <w:rPr>
            <w:noProof/>
            <w:webHidden/>
          </w:rPr>
          <w:tab/>
        </w:r>
        <w:r>
          <w:rPr>
            <w:noProof/>
            <w:webHidden/>
          </w:rPr>
          <w:fldChar w:fldCharType="begin"/>
        </w:r>
        <w:r>
          <w:rPr>
            <w:noProof/>
            <w:webHidden/>
          </w:rPr>
          <w:instrText xml:space="preserve"> PAGEREF _Toc128579616 \h </w:instrText>
        </w:r>
        <w:r>
          <w:rPr>
            <w:noProof/>
            <w:webHidden/>
          </w:rPr>
        </w:r>
        <w:r>
          <w:rPr>
            <w:noProof/>
            <w:webHidden/>
          </w:rPr>
          <w:fldChar w:fldCharType="separate"/>
        </w:r>
        <w:r>
          <w:rPr>
            <w:noProof/>
            <w:webHidden/>
          </w:rPr>
          <w:t>18</w:t>
        </w:r>
        <w:r>
          <w:rPr>
            <w:noProof/>
            <w:webHidden/>
          </w:rPr>
          <w:fldChar w:fldCharType="end"/>
        </w:r>
      </w:hyperlink>
    </w:p>
    <w:p w14:paraId="1A199250" w14:textId="2ED59D3A" w:rsidR="00C914DB" w:rsidRDefault="00C914DB">
      <w:pPr>
        <w:pStyle w:val="TOC2"/>
        <w:rPr>
          <w:rFonts w:asciiTheme="minorHAnsi" w:eastAsiaTheme="minorEastAsia" w:hAnsiTheme="minorHAnsi" w:cstheme="minorBidi"/>
          <w:noProof/>
        </w:rPr>
      </w:pPr>
      <w:hyperlink w:anchor="_Toc128579617" w:history="1">
        <w:r w:rsidRPr="006B22FA">
          <w:rPr>
            <w:rStyle w:val="Hyperlink"/>
            <w:noProof/>
          </w:rPr>
          <w:t>Monitoring, Records, &amp; Policies</w:t>
        </w:r>
        <w:r>
          <w:rPr>
            <w:noProof/>
            <w:webHidden/>
          </w:rPr>
          <w:tab/>
        </w:r>
        <w:r>
          <w:rPr>
            <w:noProof/>
            <w:webHidden/>
          </w:rPr>
          <w:fldChar w:fldCharType="begin"/>
        </w:r>
        <w:r>
          <w:rPr>
            <w:noProof/>
            <w:webHidden/>
          </w:rPr>
          <w:instrText xml:space="preserve"> PAGEREF _Toc128579617 \h </w:instrText>
        </w:r>
        <w:r>
          <w:rPr>
            <w:noProof/>
            <w:webHidden/>
          </w:rPr>
        </w:r>
        <w:r>
          <w:rPr>
            <w:noProof/>
            <w:webHidden/>
          </w:rPr>
          <w:fldChar w:fldCharType="separate"/>
        </w:r>
        <w:r>
          <w:rPr>
            <w:noProof/>
            <w:webHidden/>
          </w:rPr>
          <w:t>18</w:t>
        </w:r>
        <w:r>
          <w:rPr>
            <w:noProof/>
            <w:webHidden/>
          </w:rPr>
          <w:fldChar w:fldCharType="end"/>
        </w:r>
      </w:hyperlink>
    </w:p>
    <w:p w14:paraId="620EBF55" w14:textId="76B663BF" w:rsidR="00C914DB" w:rsidRDefault="00C914DB">
      <w:pPr>
        <w:pStyle w:val="TOC2"/>
        <w:rPr>
          <w:rFonts w:asciiTheme="minorHAnsi" w:eastAsiaTheme="minorEastAsia" w:hAnsiTheme="minorHAnsi" w:cstheme="minorBidi"/>
          <w:noProof/>
        </w:rPr>
      </w:pPr>
      <w:hyperlink w:anchor="_Toc128579618" w:history="1">
        <w:r w:rsidRPr="006B22FA">
          <w:rPr>
            <w:rStyle w:val="Hyperlink"/>
            <w:noProof/>
          </w:rPr>
          <w:t>Agency Support</w:t>
        </w:r>
        <w:r>
          <w:rPr>
            <w:noProof/>
            <w:webHidden/>
          </w:rPr>
          <w:tab/>
        </w:r>
        <w:r>
          <w:rPr>
            <w:noProof/>
            <w:webHidden/>
          </w:rPr>
          <w:fldChar w:fldCharType="begin"/>
        </w:r>
        <w:r>
          <w:rPr>
            <w:noProof/>
            <w:webHidden/>
          </w:rPr>
          <w:instrText xml:space="preserve"> PAGEREF _Toc128579618 \h </w:instrText>
        </w:r>
        <w:r>
          <w:rPr>
            <w:noProof/>
            <w:webHidden/>
          </w:rPr>
        </w:r>
        <w:r>
          <w:rPr>
            <w:noProof/>
            <w:webHidden/>
          </w:rPr>
          <w:fldChar w:fldCharType="separate"/>
        </w:r>
        <w:r>
          <w:rPr>
            <w:noProof/>
            <w:webHidden/>
          </w:rPr>
          <w:t>18</w:t>
        </w:r>
        <w:r>
          <w:rPr>
            <w:noProof/>
            <w:webHidden/>
          </w:rPr>
          <w:fldChar w:fldCharType="end"/>
        </w:r>
      </w:hyperlink>
    </w:p>
    <w:p w14:paraId="6ACF0987" w14:textId="1C5024A3" w:rsidR="00C914DB" w:rsidRDefault="00C914DB">
      <w:pPr>
        <w:pStyle w:val="TOC1"/>
        <w:rPr>
          <w:rFonts w:asciiTheme="minorHAnsi" w:eastAsiaTheme="minorEastAsia" w:hAnsiTheme="minorHAnsi" w:cstheme="minorBidi"/>
          <w:bCs w:val="0"/>
          <w:caps w:val="0"/>
        </w:rPr>
      </w:pPr>
      <w:hyperlink w:anchor="_Toc128579619" w:history="1">
        <w:r w:rsidRPr="006B22FA">
          <w:rPr>
            <w:rStyle w:val="Hyperlink"/>
          </w:rPr>
          <w:t>SECTION 5 – CORE PROGRAM DEVELOPMENT</w:t>
        </w:r>
        <w:r>
          <w:rPr>
            <w:webHidden/>
          </w:rPr>
          <w:tab/>
        </w:r>
        <w:r>
          <w:rPr>
            <w:webHidden/>
          </w:rPr>
          <w:fldChar w:fldCharType="begin"/>
        </w:r>
        <w:r>
          <w:rPr>
            <w:webHidden/>
          </w:rPr>
          <w:instrText xml:space="preserve"> PAGEREF _Toc128579619 \h </w:instrText>
        </w:r>
        <w:r>
          <w:rPr>
            <w:webHidden/>
          </w:rPr>
        </w:r>
        <w:r>
          <w:rPr>
            <w:webHidden/>
          </w:rPr>
          <w:fldChar w:fldCharType="separate"/>
        </w:r>
        <w:r>
          <w:rPr>
            <w:webHidden/>
          </w:rPr>
          <w:t>19</w:t>
        </w:r>
        <w:r>
          <w:rPr>
            <w:webHidden/>
          </w:rPr>
          <w:fldChar w:fldCharType="end"/>
        </w:r>
      </w:hyperlink>
    </w:p>
    <w:p w14:paraId="23AD5E3B" w14:textId="1AA6A69F" w:rsidR="00C914DB" w:rsidRDefault="00C914DB">
      <w:pPr>
        <w:pStyle w:val="TOC2"/>
        <w:rPr>
          <w:rFonts w:asciiTheme="minorHAnsi" w:eastAsiaTheme="minorEastAsia" w:hAnsiTheme="minorHAnsi" w:cstheme="minorBidi"/>
          <w:noProof/>
        </w:rPr>
      </w:pPr>
      <w:hyperlink w:anchor="_Toc128579620" w:history="1">
        <w:r w:rsidRPr="006B22FA">
          <w:rPr>
            <w:rStyle w:val="Hyperlink"/>
            <w:noProof/>
          </w:rPr>
          <w:t>Structure, Outreach, and Intake</w:t>
        </w:r>
        <w:r>
          <w:rPr>
            <w:noProof/>
            <w:webHidden/>
          </w:rPr>
          <w:tab/>
        </w:r>
        <w:r>
          <w:rPr>
            <w:noProof/>
            <w:webHidden/>
          </w:rPr>
          <w:fldChar w:fldCharType="begin"/>
        </w:r>
        <w:r>
          <w:rPr>
            <w:noProof/>
            <w:webHidden/>
          </w:rPr>
          <w:instrText xml:space="preserve"> PAGEREF _Toc128579620 \h </w:instrText>
        </w:r>
        <w:r>
          <w:rPr>
            <w:noProof/>
            <w:webHidden/>
          </w:rPr>
        </w:r>
        <w:r>
          <w:rPr>
            <w:noProof/>
            <w:webHidden/>
          </w:rPr>
          <w:fldChar w:fldCharType="separate"/>
        </w:r>
        <w:r>
          <w:rPr>
            <w:noProof/>
            <w:webHidden/>
          </w:rPr>
          <w:t>19</w:t>
        </w:r>
        <w:r>
          <w:rPr>
            <w:noProof/>
            <w:webHidden/>
          </w:rPr>
          <w:fldChar w:fldCharType="end"/>
        </w:r>
      </w:hyperlink>
    </w:p>
    <w:p w14:paraId="4D04BD59" w14:textId="640B8FC6" w:rsidR="00C914DB" w:rsidRDefault="00C914DB">
      <w:pPr>
        <w:pStyle w:val="TOC2"/>
        <w:rPr>
          <w:rFonts w:asciiTheme="minorHAnsi" w:eastAsiaTheme="minorEastAsia" w:hAnsiTheme="minorHAnsi" w:cstheme="minorBidi"/>
          <w:noProof/>
        </w:rPr>
      </w:pPr>
      <w:hyperlink w:anchor="_Toc128579621" w:history="1">
        <w:r w:rsidRPr="006B22FA">
          <w:rPr>
            <w:rStyle w:val="Hyperlink"/>
            <w:noProof/>
          </w:rPr>
          <w:t>Curriculum &amp; Instruction</w:t>
        </w:r>
        <w:r>
          <w:rPr>
            <w:noProof/>
            <w:webHidden/>
          </w:rPr>
          <w:tab/>
        </w:r>
        <w:r>
          <w:rPr>
            <w:noProof/>
            <w:webHidden/>
          </w:rPr>
          <w:fldChar w:fldCharType="begin"/>
        </w:r>
        <w:r>
          <w:rPr>
            <w:noProof/>
            <w:webHidden/>
          </w:rPr>
          <w:instrText xml:space="preserve"> PAGEREF _Toc128579621 \h </w:instrText>
        </w:r>
        <w:r>
          <w:rPr>
            <w:noProof/>
            <w:webHidden/>
          </w:rPr>
        </w:r>
        <w:r>
          <w:rPr>
            <w:noProof/>
            <w:webHidden/>
          </w:rPr>
          <w:fldChar w:fldCharType="separate"/>
        </w:r>
        <w:r>
          <w:rPr>
            <w:noProof/>
            <w:webHidden/>
          </w:rPr>
          <w:t>21</w:t>
        </w:r>
        <w:r>
          <w:rPr>
            <w:noProof/>
            <w:webHidden/>
          </w:rPr>
          <w:fldChar w:fldCharType="end"/>
        </w:r>
      </w:hyperlink>
    </w:p>
    <w:p w14:paraId="49E0D6D9" w14:textId="32B29C72" w:rsidR="00C914DB" w:rsidRDefault="00C914DB">
      <w:pPr>
        <w:pStyle w:val="TOC1"/>
        <w:rPr>
          <w:rFonts w:asciiTheme="minorHAnsi" w:eastAsiaTheme="minorEastAsia" w:hAnsiTheme="minorHAnsi" w:cstheme="minorBidi"/>
          <w:bCs w:val="0"/>
          <w:caps w:val="0"/>
        </w:rPr>
      </w:pPr>
      <w:hyperlink w:anchor="_Toc128579622" w:history="1">
        <w:r w:rsidRPr="006B22FA">
          <w:rPr>
            <w:rStyle w:val="Hyperlink"/>
          </w:rPr>
          <w:t>Section 6 – WORKFORCE DEVELOPMENT System &amp; initiatives</w:t>
        </w:r>
        <w:r>
          <w:rPr>
            <w:webHidden/>
          </w:rPr>
          <w:tab/>
        </w:r>
        <w:r>
          <w:rPr>
            <w:webHidden/>
          </w:rPr>
          <w:fldChar w:fldCharType="begin"/>
        </w:r>
        <w:r>
          <w:rPr>
            <w:webHidden/>
          </w:rPr>
          <w:instrText xml:space="preserve"> PAGEREF _Toc128579622 \h </w:instrText>
        </w:r>
        <w:r>
          <w:rPr>
            <w:webHidden/>
          </w:rPr>
        </w:r>
        <w:r>
          <w:rPr>
            <w:webHidden/>
          </w:rPr>
          <w:fldChar w:fldCharType="separate"/>
        </w:r>
        <w:r>
          <w:rPr>
            <w:webHidden/>
          </w:rPr>
          <w:t>22</w:t>
        </w:r>
        <w:r>
          <w:rPr>
            <w:webHidden/>
          </w:rPr>
          <w:fldChar w:fldCharType="end"/>
        </w:r>
      </w:hyperlink>
    </w:p>
    <w:p w14:paraId="519F22AA" w14:textId="72101960" w:rsidR="00C914DB" w:rsidRDefault="00C914DB">
      <w:pPr>
        <w:pStyle w:val="TOC1"/>
        <w:rPr>
          <w:rFonts w:asciiTheme="minorHAnsi" w:eastAsiaTheme="minorEastAsia" w:hAnsiTheme="minorHAnsi" w:cstheme="minorBidi"/>
          <w:bCs w:val="0"/>
          <w:caps w:val="0"/>
        </w:rPr>
      </w:pPr>
      <w:hyperlink w:anchor="_Toc128579623" w:history="1">
        <w:r w:rsidRPr="006B22FA">
          <w:rPr>
            <w:rStyle w:val="Hyperlink"/>
          </w:rPr>
          <w:t>Section 7 – CORRECTIONS EDUCATION</w:t>
        </w:r>
        <w:r>
          <w:rPr>
            <w:webHidden/>
          </w:rPr>
          <w:tab/>
        </w:r>
        <w:r>
          <w:rPr>
            <w:webHidden/>
          </w:rPr>
          <w:fldChar w:fldCharType="begin"/>
        </w:r>
        <w:r>
          <w:rPr>
            <w:webHidden/>
          </w:rPr>
          <w:instrText xml:space="preserve"> PAGEREF _Toc128579623 \h </w:instrText>
        </w:r>
        <w:r>
          <w:rPr>
            <w:webHidden/>
          </w:rPr>
        </w:r>
        <w:r>
          <w:rPr>
            <w:webHidden/>
          </w:rPr>
          <w:fldChar w:fldCharType="separate"/>
        </w:r>
        <w:r>
          <w:rPr>
            <w:webHidden/>
          </w:rPr>
          <w:t>25</w:t>
        </w:r>
        <w:r>
          <w:rPr>
            <w:webHidden/>
          </w:rPr>
          <w:fldChar w:fldCharType="end"/>
        </w:r>
      </w:hyperlink>
    </w:p>
    <w:p w14:paraId="6101B9CF" w14:textId="48EBB6AE" w:rsidR="00C914DB" w:rsidRDefault="00C914DB">
      <w:pPr>
        <w:pStyle w:val="TOC1"/>
        <w:rPr>
          <w:rFonts w:asciiTheme="minorHAnsi" w:eastAsiaTheme="minorEastAsia" w:hAnsiTheme="minorHAnsi" w:cstheme="minorBidi"/>
          <w:bCs w:val="0"/>
          <w:caps w:val="0"/>
        </w:rPr>
      </w:pPr>
      <w:hyperlink w:anchor="_Toc128579624" w:history="1">
        <w:r w:rsidRPr="006B22FA">
          <w:rPr>
            <w:rStyle w:val="Hyperlink"/>
          </w:rPr>
          <w:t>SECTION 8 – Grant Application Guide</w:t>
        </w:r>
        <w:r>
          <w:rPr>
            <w:webHidden/>
          </w:rPr>
          <w:tab/>
        </w:r>
        <w:r>
          <w:rPr>
            <w:webHidden/>
          </w:rPr>
          <w:fldChar w:fldCharType="begin"/>
        </w:r>
        <w:r>
          <w:rPr>
            <w:webHidden/>
          </w:rPr>
          <w:instrText xml:space="preserve"> PAGEREF _Toc128579624 \h </w:instrText>
        </w:r>
        <w:r>
          <w:rPr>
            <w:webHidden/>
          </w:rPr>
        </w:r>
        <w:r>
          <w:rPr>
            <w:webHidden/>
          </w:rPr>
          <w:fldChar w:fldCharType="separate"/>
        </w:r>
        <w:r>
          <w:rPr>
            <w:webHidden/>
          </w:rPr>
          <w:t>26</w:t>
        </w:r>
        <w:r>
          <w:rPr>
            <w:webHidden/>
          </w:rPr>
          <w:fldChar w:fldCharType="end"/>
        </w:r>
      </w:hyperlink>
    </w:p>
    <w:p w14:paraId="1A42232D" w14:textId="74C34985" w:rsidR="00C914DB" w:rsidRDefault="00C914DB">
      <w:pPr>
        <w:pStyle w:val="TOC2"/>
        <w:rPr>
          <w:rFonts w:asciiTheme="minorHAnsi" w:eastAsiaTheme="minorEastAsia" w:hAnsiTheme="minorHAnsi" w:cstheme="minorBidi"/>
          <w:noProof/>
        </w:rPr>
      </w:pPr>
      <w:hyperlink w:anchor="_Toc128579625" w:history="1">
        <w:r w:rsidRPr="006B22FA">
          <w:rPr>
            <w:rStyle w:val="Hyperlink"/>
            <w:noProof/>
          </w:rPr>
          <w:t>Considerations in Awarding Grants</w:t>
        </w:r>
        <w:r>
          <w:rPr>
            <w:noProof/>
            <w:webHidden/>
          </w:rPr>
          <w:tab/>
        </w:r>
        <w:r>
          <w:rPr>
            <w:noProof/>
            <w:webHidden/>
          </w:rPr>
          <w:fldChar w:fldCharType="begin"/>
        </w:r>
        <w:r>
          <w:rPr>
            <w:noProof/>
            <w:webHidden/>
          </w:rPr>
          <w:instrText xml:space="preserve"> PAGEREF _Toc128579625 \h </w:instrText>
        </w:r>
        <w:r>
          <w:rPr>
            <w:noProof/>
            <w:webHidden/>
          </w:rPr>
        </w:r>
        <w:r>
          <w:rPr>
            <w:noProof/>
            <w:webHidden/>
          </w:rPr>
          <w:fldChar w:fldCharType="separate"/>
        </w:r>
        <w:r>
          <w:rPr>
            <w:noProof/>
            <w:webHidden/>
          </w:rPr>
          <w:t>26</w:t>
        </w:r>
        <w:r>
          <w:rPr>
            <w:noProof/>
            <w:webHidden/>
          </w:rPr>
          <w:fldChar w:fldCharType="end"/>
        </w:r>
      </w:hyperlink>
    </w:p>
    <w:p w14:paraId="764C3B2E" w14:textId="4DF5A879" w:rsidR="00C914DB" w:rsidRDefault="00C914DB">
      <w:pPr>
        <w:pStyle w:val="TOC2"/>
        <w:rPr>
          <w:rFonts w:asciiTheme="minorHAnsi" w:eastAsiaTheme="minorEastAsia" w:hAnsiTheme="minorHAnsi" w:cstheme="minorBidi"/>
          <w:noProof/>
        </w:rPr>
      </w:pPr>
      <w:hyperlink w:anchor="_Toc128579626" w:history="1">
        <w:r w:rsidRPr="006B22FA">
          <w:rPr>
            <w:rStyle w:val="Hyperlink"/>
            <w:noProof/>
          </w:rPr>
          <w:t>Required Application Information</w:t>
        </w:r>
        <w:r>
          <w:rPr>
            <w:noProof/>
            <w:webHidden/>
          </w:rPr>
          <w:tab/>
        </w:r>
        <w:r>
          <w:rPr>
            <w:noProof/>
            <w:webHidden/>
          </w:rPr>
          <w:fldChar w:fldCharType="begin"/>
        </w:r>
        <w:r>
          <w:rPr>
            <w:noProof/>
            <w:webHidden/>
          </w:rPr>
          <w:instrText xml:space="preserve"> PAGEREF _Toc128579626 \h </w:instrText>
        </w:r>
        <w:r>
          <w:rPr>
            <w:noProof/>
            <w:webHidden/>
          </w:rPr>
        </w:r>
        <w:r>
          <w:rPr>
            <w:noProof/>
            <w:webHidden/>
          </w:rPr>
          <w:fldChar w:fldCharType="separate"/>
        </w:r>
        <w:r>
          <w:rPr>
            <w:noProof/>
            <w:webHidden/>
          </w:rPr>
          <w:t>28</w:t>
        </w:r>
        <w:r>
          <w:rPr>
            <w:noProof/>
            <w:webHidden/>
          </w:rPr>
          <w:fldChar w:fldCharType="end"/>
        </w:r>
      </w:hyperlink>
    </w:p>
    <w:p w14:paraId="658738A3" w14:textId="3106A5E5" w:rsidR="00C914DB" w:rsidRDefault="00C914DB">
      <w:pPr>
        <w:pStyle w:val="TOC2"/>
        <w:rPr>
          <w:rFonts w:asciiTheme="minorHAnsi" w:eastAsiaTheme="minorEastAsia" w:hAnsiTheme="minorHAnsi" w:cstheme="minorBidi"/>
          <w:noProof/>
        </w:rPr>
      </w:pPr>
      <w:hyperlink w:anchor="_Toc128579627" w:history="1">
        <w:r w:rsidRPr="006B22FA">
          <w:rPr>
            <w:rStyle w:val="Hyperlink"/>
            <w:noProof/>
          </w:rPr>
          <w:t>Writing the Application</w:t>
        </w:r>
        <w:r>
          <w:rPr>
            <w:noProof/>
            <w:webHidden/>
          </w:rPr>
          <w:tab/>
        </w:r>
        <w:r>
          <w:rPr>
            <w:noProof/>
            <w:webHidden/>
          </w:rPr>
          <w:fldChar w:fldCharType="begin"/>
        </w:r>
        <w:r>
          <w:rPr>
            <w:noProof/>
            <w:webHidden/>
          </w:rPr>
          <w:instrText xml:space="preserve"> PAGEREF _Toc128579627 \h </w:instrText>
        </w:r>
        <w:r>
          <w:rPr>
            <w:noProof/>
            <w:webHidden/>
          </w:rPr>
        </w:r>
        <w:r>
          <w:rPr>
            <w:noProof/>
            <w:webHidden/>
          </w:rPr>
          <w:fldChar w:fldCharType="separate"/>
        </w:r>
        <w:r>
          <w:rPr>
            <w:noProof/>
            <w:webHidden/>
          </w:rPr>
          <w:t>30</w:t>
        </w:r>
        <w:r>
          <w:rPr>
            <w:noProof/>
            <w:webHidden/>
          </w:rPr>
          <w:fldChar w:fldCharType="end"/>
        </w:r>
      </w:hyperlink>
    </w:p>
    <w:p w14:paraId="0F94B8D5" w14:textId="7CED5466" w:rsidR="00C914DB" w:rsidRDefault="00C914DB">
      <w:pPr>
        <w:pStyle w:val="TOC2"/>
        <w:rPr>
          <w:rFonts w:asciiTheme="minorHAnsi" w:eastAsiaTheme="minorEastAsia" w:hAnsiTheme="minorHAnsi" w:cstheme="minorBidi"/>
          <w:noProof/>
        </w:rPr>
      </w:pPr>
      <w:hyperlink w:anchor="_Toc128579628" w:history="1">
        <w:r w:rsidRPr="006B22FA">
          <w:rPr>
            <w:rStyle w:val="Hyperlink"/>
            <w:noProof/>
          </w:rPr>
          <w:t>Application Submission, Review, and Scoring</w:t>
        </w:r>
        <w:r>
          <w:rPr>
            <w:noProof/>
            <w:webHidden/>
          </w:rPr>
          <w:tab/>
        </w:r>
        <w:r>
          <w:rPr>
            <w:noProof/>
            <w:webHidden/>
          </w:rPr>
          <w:fldChar w:fldCharType="begin"/>
        </w:r>
        <w:r>
          <w:rPr>
            <w:noProof/>
            <w:webHidden/>
          </w:rPr>
          <w:instrText xml:space="preserve"> PAGEREF _Toc128579628 \h </w:instrText>
        </w:r>
        <w:r>
          <w:rPr>
            <w:noProof/>
            <w:webHidden/>
          </w:rPr>
        </w:r>
        <w:r>
          <w:rPr>
            <w:noProof/>
            <w:webHidden/>
          </w:rPr>
          <w:fldChar w:fldCharType="separate"/>
        </w:r>
        <w:r>
          <w:rPr>
            <w:noProof/>
            <w:webHidden/>
          </w:rPr>
          <w:t>31</w:t>
        </w:r>
        <w:r>
          <w:rPr>
            <w:noProof/>
            <w:webHidden/>
          </w:rPr>
          <w:fldChar w:fldCharType="end"/>
        </w:r>
      </w:hyperlink>
    </w:p>
    <w:p w14:paraId="57838145" w14:textId="1440EB1A" w:rsidR="00C914DB" w:rsidRDefault="00C914DB">
      <w:pPr>
        <w:pStyle w:val="TOC1"/>
        <w:rPr>
          <w:rFonts w:asciiTheme="minorHAnsi" w:eastAsiaTheme="minorEastAsia" w:hAnsiTheme="minorHAnsi" w:cstheme="minorBidi"/>
          <w:bCs w:val="0"/>
          <w:caps w:val="0"/>
        </w:rPr>
      </w:pPr>
      <w:hyperlink w:anchor="_Toc128579629" w:history="1">
        <w:r w:rsidRPr="006B22FA">
          <w:rPr>
            <w:rStyle w:val="Hyperlink"/>
            <w:rFonts w:eastAsia="Calibri"/>
          </w:rPr>
          <w:t>Appendix A: Demonstrated Effectiveness</w:t>
        </w:r>
        <w:r>
          <w:rPr>
            <w:webHidden/>
          </w:rPr>
          <w:tab/>
        </w:r>
        <w:r>
          <w:rPr>
            <w:webHidden/>
          </w:rPr>
          <w:fldChar w:fldCharType="begin"/>
        </w:r>
        <w:r>
          <w:rPr>
            <w:webHidden/>
          </w:rPr>
          <w:instrText xml:space="preserve"> PAGEREF _Toc128579629 \h </w:instrText>
        </w:r>
        <w:r>
          <w:rPr>
            <w:webHidden/>
          </w:rPr>
        </w:r>
        <w:r>
          <w:rPr>
            <w:webHidden/>
          </w:rPr>
          <w:fldChar w:fldCharType="separate"/>
        </w:r>
        <w:r>
          <w:rPr>
            <w:webHidden/>
          </w:rPr>
          <w:t>32</w:t>
        </w:r>
        <w:r>
          <w:rPr>
            <w:webHidden/>
          </w:rPr>
          <w:fldChar w:fldCharType="end"/>
        </w:r>
      </w:hyperlink>
    </w:p>
    <w:p w14:paraId="6B030F40" w14:textId="3C04D6FE" w:rsidR="00C914DB" w:rsidRDefault="00C914DB">
      <w:pPr>
        <w:pStyle w:val="TOC1"/>
        <w:rPr>
          <w:rFonts w:asciiTheme="minorHAnsi" w:eastAsiaTheme="minorEastAsia" w:hAnsiTheme="minorHAnsi" w:cstheme="minorBidi"/>
          <w:bCs w:val="0"/>
          <w:caps w:val="0"/>
        </w:rPr>
      </w:pPr>
      <w:hyperlink w:anchor="_Toc128579630" w:history="1">
        <w:r w:rsidRPr="006B22FA">
          <w:rPr>
            <w:rStyle w:val="Hyperlink"/>
            <w:rFonts w:eastAsia="Calibri"/>
          </w:rPr>
          <w:t>Appendix B: Cover Page</w:t>
        </w:r>
        <w:r>
          <w:rPr>
            <w:webHidden/>
          </w:rPr>
          <w:tab/>
        </w:r>
        <w:r>
          <w:rPr>
            <w:webHidden/>
          </w:rPr>
          <w:fldChar w:fldCharType="begin"/>
        </w:r>
        <w:r>
          <w:rPr>
            <w:webHidden/>
          </w:rPr>
          <w:instrText xml:space="preserve"> PAGEREF _Toc128579630 \h </w:instrText>
        </w:r>
        <w:r>
          <w:rPr>
            <w:webHidden/>
          </w:rPr>
        </w:r>
        <w:r>
          <w:rPr>
            <w:webHidden/>
          </w:rPr>
          <w:fldChar w:fldCharType="separate"/>
        </w:r>
        <w:r>
          <w:rPr>
            <w:webHidden/>
          </w:rPr>
          <w:t>35</w:t>
        </w:r>
        <w:r>
          <w:rPr>
            <w:webHidden/>
          </w:rPr>
          <w:fldChar w:fldCharType="end"/>
        </w:r>
      </w:hyperlink>
    </w:p>
    <w:p w14:paraId="6F6D0C9F" w14:textId="37AE8967" w:rsidR="00C914DB" w:rsidRDefault="00C914DB">
      <w:pPr>
        <w:pStyle w:val="TOC1"/>
        <w:rPr>
          <w:rFonts w:asciiTheme="minorHAnsi" w:eastAsiaTheme="minorEastAsia" w:hAnsiTheme="minorHAnsi" w:cstheme="minorBidi"/>
          <w:bCs w:val="0"/>
          <w:caps w:val="0"/>
        </w:rPr>
      </w:pPr>
      <w:hyperlink w:anchor="_Toc128579631" w:history="1">
        <w:r w:rsidRPr="006B22FA">
          <w:rPr>
            <w:rStyle w:val="Hyperlink"/>
            <w:rFonts w:eastAsia="Calibri"/>
          </w:rPr>
          <w:t>Appendix C: Budget Guidance</w:t>
        </w:r>
        <w:r>
          <w:rPr>
            <w:webHidden/>
          </w:rPr>
          <w:tab/>
        </w:r>
        <w:r>
          <w:rPr>
            <w:webHidden/>
          </w:rPr>
          <w:fldChar w:fldCharType="begin"/>
        </w:r>
        <w:r>
          <w:rPr>
            <w:webHidden/>
          </w:rPr>
          <w:instrText xml:space="preserve"> PAGEREF _Toc128579631 \h </w:instrText>
        </w:r>
        <w:r>
          <w:rPr>
            <w:webHidden/>
          </w:rPr>
        </w:r>
        <w:r>
          <w:rPr>
            <w:webHidden/>
          </w:rPr>
          <w:fldChar w:fldCharType="separate"/>
        </w:r>
        <w:r>
          <w:rPr>
            <w:webHidden/>
          </w:rPr>
          <w:t>36</w:t>
        </w:r>
        <w:r>
          <w:rPr>
            <w:webHidden/>
          </w:rPr>
          <w:fldChar w:fldCharType="end"/>
        </w:r>
      </w:hyperlink>
    </w:p>
    <w:p w14:paraId="458A3210" w14:textId="28EF5001" w:rsidR="00C914DB" w:rsidRDefault="00C914DB">
      <w:pPr>
        <w:pStyle w:val="TOC2"/>
        <w:rPr>
          <w:rFonts w:asciiTheme="minorHAnsi" w:eastAsiaTheme="minorEastAsia" w:hAnsiTheme="minorHAnsi" w:cstheme="minorBidi"/>
          <w:noProof/>
        </w:rPr>
      </w:pPr>
      <w:hyperlink w:anchor="_Toc128579632" w:history="1">
        <w:r w:rsidRPr="006B22FA">
          <w:rPr>
            <w:rStyle w:val="Hyperlink"/>
            <w:noProof/>
          </w:rPr>
          <w:t>Budget Proposal: Spreadsheet and Narrative</w:t>
        </w:r>
        <w:r>
          <w:rPr>
            <w:noProof/>
            <w:webHidden/>
          </w:rPr>
          <w:tab/>
        </w:r>
        <w:r>
          <w:rPr>
            <w:noProof/>
            <w:webHidden/>
          </w:rPr>
          <w:fldChar w:fldCharType="begin"/>
        </w:r>
        <w:r>
          <w:rPr>
            <w:noProof/>
            <w:webHidden/>
          </w:rPr>
          <w:instrText xml:space="preserve"> PAGEREF _Toc128579632 \h </w:instrText>
        </w:r>
        <w:r>
          <w:rPr>
            <w:noProof/>
            <w:webHidden/>
          </w:rPr>
        </w:r>
        <w:r>
          <w:rPr>
            <w:noProof/>
            <w:webHidden/>
          </w:rPr>
          <w:fldChar w:fldCharType="separate"/>
        </w:r>
        <w:r>
          <w:rPr>
            <w:noProof/>
            <w:webHidden/>
          </w:rPr>
          <w:t>36</w:t>
        </w:r>
        <w:r>
          <w:rPr>
            <w:noProof/>
            <w:webHidden/>
          </w:rPr>
          <w:fldChar w:fldCharType="end"/>
        </w:r>
      </w:hyperlink>
    </w:p>
    <w:p w14:paraId="61AF64DB" w14:textId="548B4B49" w:rsidR="00C914DB" w:rsidRDefault="00C914DB">
      <w:pPr>
        <w:pStyle w:val="TOC2"/>
        <w:rPr>
          <w:rFonts w:asciiTheme="minorHAnsi" w:eastAsiaTheme="minorEastAsia" w:hAnsiTheme="minorHAnsi" w:cstheme="minorBidi"/>
          <w:noProof/>
        </w:rPr>
      </w:pPr>
      <w:hyperlink w:anchor="_Toc128579633" w:history="1">
        <w:r w:rsidRPr="006B22FA">
          <w:rPr>
            <w:rStyle w:val="Hyperlink"/>
            <w:noProof/>
          </w:rPr>
          <w:t>Cost Estimates</w:t>
        </w:r>
        <w:r>
          <w:rPr>
            <w:noProof/>
            <w:webHidden/>
          </w:rPr>
          <w:tab/>
        </w:r>
        <w:r>
          <w:rPr>
            <w:noProof/>
            <w:webHidden/>
          </w:rPr>
          <w:fldChar w:fldCharType="begin"/>
        </w:r>
        <w:r>
          <w:rPr>
            <w:noProof/>
            <w:webHidden/>
          </w:rPr>
          <w:instrText xml:space="preserve"> PAGEREF _Toc128579633 \h </w:instrText>
        </w:r>
        <w:r>
          <w:rPr>
            <w:noProof/>
            <w:webHidden/>
          </w:rPr>
        </w:r>
        <w:r>
          <w:rPr>
            <w:noProof/>
            <w:webHidden/>
          </w:rPr>
          <w:fldChar w:fldCharType="separate"/>
        </w:r>
        <w:r>
          <w:rPr>
            <w:noProof/>
            <w:webHidden/>
          </w:rPr>
          <w:t>37</w:t>
        </w:r>
        <w:r>
          <w:rPr>
            <w:noProof/>
            <w:webHidden/>
          </w:rPr>
          <w:fldChar w:fldCharType="end"/>
        </w:r>
      </w:hyperlink>
    </w:p>
    <w:p w14:paraId="20BD059E" w14:textId="3E97BAD4" w:rsidR="00C914DB" w:rsidRDefault="00C914DB">
      <w:pPr>
        <w:pStyle w:val="TOC1"/>
        <w:rPr>
          <w:rFonts w:asciiTheme="minorHAnsi" w:eastAsiaTheme="minorEastAsia" w:hAnsiTheme="minorHAnsi" w:cstheme="minorBidi"/>
          <w:bCs w:val="0"/>
          <w:caps w:val="0"/>
        </w:rPr>
      </w:pPr>
      <w:hyperlink w:anchor="_Toc128579634" w:history="1">
        <w:r w:rsidRPr="006B22FA">
          <w:rPr>
            <w:rStyle w:val="Hyperlink"/>
            <w:rFonts w:eastAsia="Calibri"/>
          </w:rPr>
          <w:t>Appendix D: scoring Rubric</w:t>
        </w:r>
        <w:r>
          <w:rPr>
            <w:webHidden/>
          </w:rPr>
          <w:tab/>
        </w:r>
        <w:r>
          <w:rPr>
            <w:webHidden/>
          </w:rPr>
          <w:fldChar w:fldCharType="begin"/>
        </w:r>
        <w:r>
          <w:rPr>
            <w:webHidden/>
          </w:rPr>
          <w:instrText xml:space="preserve"> PAGEREF _Toc128579634 \h </w:instrText>
        </w:r>
        <w:r>
          <w:rPr>
            <w:webHidden/>
          </w:rPr>
        </w:r>
        <w:r>
          <w:rPr>
            <w:webHidden/>
          </w:rPr>
          <w:fldChar w:fldCharType="separate"/>
        </w:r>
        <w:r>
          <w:rPr>
            <w:webHidden/>
          </w:rPr>
          <w:t>40</w:t>
        </w:r>
        <w:r>
          <w:rPr>
            <w:webHidden/>
          </w:rPr>
          <w:fldChar w:fldCharType="end"/>
        </w:r>
      </w:hyperlink>
    </w:p>
    <w:p w14:paraId="6B2DBA42" w14:textId="0E8D52FF" w:rsidR="006158C8" w:rsidRDefault="004B0F42" w:rsidP="00EA0734">
      <w:pPr>
        <w:keepLines/>
        <w:rPr>
          <w:b/>
          <w:color w:val="FF0000"/>
          <w:shd w:val="clear" w:color="auto" w:fill="E6E6E6"/>
        </w:rPr>
        <w:sectPr w:rsidR="006158C8" w:rsidSect="001D1B0D">
          <w:headerReference w:type="first" r:id="rId18"/>
          <w:pgSz w:w="12240" w:h="15840"/>
          <w:pgMar w:top="1440" w:right="1440" w:bottom="1440" w:left="1440" w:header="720" w:footer="720" w:gutter="0"/>
          <w:pgNumType w:start="0"/>
          <w:cols w:space="720"/>
          <w:titlePg/>
          <w:docGrid w:linePitch="360"/>
        </w:sectPr>
      </w:pPr>
      <w:r w:rsidRPr="004064FD">
        <w:rPr>
          <w:b/>
          <w:color w:val="FF0000"/>
          <w:shd w:val="clear" w:color="auto" w:fill="E6E6E6"/>
        </w:rPr>
        <w:fldChar w:fldCharType="end"/>
      </w:r>
    </w:p>
    <w:p w14:paraId="26311208" w14:textId="1B158C61" w:rsidR="003E3AFD" w:rsidRPr="00EE7081" w:rsidRDefault="007B0D78" w:rsidP="00EA0734">
      <w:pPr>
        <w:pStyle w:val="Heading1"/>
        <w:keepNext w:val="0"/>
        <w:keepLines/>
        <w:rPr>
          <w:rStyle w:val="Strong"/>
          <w:rFonts w:ascii="Open Sans" w:hAnsi="Open Sans"/>
          <w:b/>
          <w:bCs w:val="0"/>
        </w:rPr>
      </w:pPr>
      <w:bookmarkStart w:id="0" w:name="_Toc30575324"/>
      <w:bookmarkStart w:id="1" w:name="_Toc128579605"/>
      <w:r w:rsidRPr="00EE7081">
        <w:rPr>
          <w:rStyle w:val="Strong"/>
          <w:rFonts w:ascii="Open Sans" w:hAnsi="Open Sans"/>
          <w:b/>
          <w:bCs w:val="0"/>
        </w:rPr>
        <w:lastRenderedPageBreak/>
        <w:t>S</w:t>
      </w:r>
      <w:r w:rsidR="005B66F1" w:rsidRPr="00EE7081">
        <w:rPr>
          <w:rStyle w:val="Strong"/>
          <w:rFonts w:ascii="Open Sans" w:hAnsi="Open Sans"/>
          <w:b/>
          <w:bCs w:val="0"/>
        </w:rPr>
        <w:t>ECTION</w:t>
      </w:r>
      <w:r w:rsidRPr="00EE7081">
        <w:rPr>
          <w:rStyle w:val="Strong"/>
          <w:rFonts w:ascii="Open Sans" w:hAnsi="Open Sans"/>
          <w:b/>
          <w:bCs w:val="0"/>
        </w:rPr>
        <w:t xml:space="preserve"> 1 –</w:t>
      </w:r>
      <w:r w:rsidR="006B4B8C" w:rsidRPr="00EE7081">
        <w:rPr>
          <w:rStyle w:val="Strong"/>
          <w:rFonts w:ascii="Open Sans" w:hAnsi="Open Sans"/>
          <w:b/>
          <w:bCs w:val="0"/>
        </w:rPr>
        <w:t xml:space="preserve"> </w:t>
      </w:r>
      <w:bookmarkEnd w:id="0"/>
      <w:r w:rsidR="004F0E0A" w:rsidRPr="00EE7081">
        <w:rPr>
          <w:rStyle w:val="Strong"/>
          <w:rFonts w:ascii="Open Sans" w:hAnsi="Open Sans"/>
          <w:b/>
          <w:bCs w:val="0"/>
        </w:rPr>
        <w:t>GRANT OVERVIEW</w:t>
      </w:r>
      <w:bookmarkEnd w:id="1"/>
    </w:p>
    <w:p w14:paraId="7C5EC830" w14:textId="77777777" w:rsidR="002F03B9" w:rsidRPr="00EE7081" w:rsidRDefault="002F03B9" w:rsidP="00EA0734">
      <w:pPr>
        <w:keepLines/>
      </w:pPr>
    </w:p>
    <w:p w14:paraId="5C696BA5" w14:textId="4B3C09EC" w:rsidR="003139DD" w:rsidRPr="00EE7081" w:rsidRDefault="003139DD" w:rsidP="00F71E24">
      <w:pPr>
        <w:pStyle w:val="Heading2"/>
      </w:pPr>
      <w:bookmarkStart w:id="2" w:name="_Toc30575325"/>
      <w:bookmarkStart w:id="3" w:name="_Toc128579606"/>
      <w:r w:rsidRPr="00EE7081">
        <w:t>Executive Summary</w:t>
      </w:r>
      <w:bookmarkEnd w:id="3"/>
    </w:p>
    <w:p w14:paraId="5955839E" w14:textId="40A718EB" w:rsidR="003139DD" w:rsidRPr="00EE7081" w:rsidRDefault="003139DD" w:rsidP="00EA0734">
      <w:pPr>
        <w:keepLines/>
      </w:pPr>
    </w:p>
    <w:p w14:paraId="1FF60691" w14:textId="77777777" w:rsidR="0063513B" w:rsidRPr="00EE7081" w:rsidRDefault="0063513B" w:rsidP="00EA0734">
      <w:pPr>
        <w:keepLines/>
      </w:pPr>
      <w:r w:rsidRPr="00EE7081">
        <w:rPr>
          <w:b/>
          <w:bCs/>
        </w:rPr>
        <w:t>What is the grant?</w:t>
      </w:r>
      <w:r w:rsidR="003139DD" w:rsidRPr="00EE7081">
        <w:t xml:space="preserve"> </w:t>
      </w:r>
    </w:p>
    <w:p w14:paraId="39A33E9C" w14:textId="04B161A0" w:rsidR="00D11F44" w:rsidRDefault="000A45D3" w:rsidP="00EA0734">
      <w:pPr>
        <w:keepLines/>
      </w:pPr>
      <w:r w:rsidRPr="00EE7081">
        <w:t xml:space="preserve">The grant is to </w:t>
      </w:r>
      <w:r w:rsidR="000035D4">
        <w:t>develop, implement, and improve</w:t>
      </w:r>
      <w:r w:rsidRPr="00EE7081">
        <w:t xml:space="preserve"> an Integrated English Literacy and Civics Education </w:t>
      </w:r>
      <w:r>
        <w:t xml:space="preserve">(IELCE) </w:t>
      </w:r>
      <w:r w:rsidRPr="00EE7081">
        <w:t xml:space="preserve">program with English language, </w:t>
      </w:r>
      <w:r w:rsidR="00EA483E">
        <w:t>civics</w:t>
      </w:r>
      <w:r w:rsidRPr="00EE7081">
        <w:t xml:space="preserve">, and workforce education services </w:t>
      </w:r>
      <w:r w:rsidR="00A968B8">
        <w:t>for</w:t>
      </w:r>
      <w:r w:rsidRPr="00EE7081">
        <w:t xml:space="preserve"> adult immigrants. Its purpose is to prepare students to succeed in the Tennessee workforce. It is administered through the U.S. Department of Education and TN Department of Labor and Workforce Development</w:t>
      </w:r>
      <w:r>
        <w:t xml:space="preserve"> (TDLWD)</w:t>
      </w:r>
      <w:r w:rsidRPr="00EE7081">
        <w:t>.</w:t>
      </w:r>
      <w:r w:rsidR="002D47D3">
        <w:t xml:space="preserve"> </w:t>
      </w:r>
      <w:r w:rsidR="00D11F44">
        <w:t>The grant period will be from July 2023 – June 2027.</w:t>
      </w:r>
    </w:p>
    <w:p w14:paraId="289F43A8" w14:textId="77777777" w:rsidR="00D11F44" w:rsidRPr="00EE7081" w:rsidRDefault="00D11F44" w:rsidP="00EA0734">
      <w:pPr>
        <w:keepLines/>
      </w:pPr>
    </w:p>
    <w:p w14:paraId="00605FF3" w14:textId="3435CE7D" w:rsidR="00FF045B" w:rsidRPr="00EE7081" w:rsidRDefault="00FF045B" w:rsidP="00EA0734">
      <w:pPr>
        <w:keepLines/>
        <w:rPr>
          <w:b/>
          <w:bCs/>
        </w:rPr>
      </w:pPr>
      <w:r w:rsidRPr="00EE7081">
        <w:rPr>
          <w:b/>
          <w:bCs/>
        </w:rPr>
        <w:t>Who is the grant intended to serve?</w:t>
      </w:r>
    </w:p>
    <w:p w14:paraId="62C7BE47" w14:textId="77777777" w:rsidR="00E41106" w:rsidRPr="00EE7081" w:rsidRDefault="00E41106" w:rsidP="00E41106">
      <w:pPr>
        <w:keepLines/>
      </w:pPr>
      <w:r w:rsidRPr="00EE7081">
        <w:t xml:space="preserve">The grant is to serve adult immigrants and English language learners, including professionals with degrees and credentials </w:t>
      </w:r>
      <w:r>
        <w:t xml:space="preserve">obtained </w:t>
      </w:r>
      <w:r w:rsidRPr="00EE7081">
        <w:t>in their native countries.</w:t>
      </w:r>
    </w:p>
    <w:p w14:paraId="1F0F5BB1" w14:textId="6BC05A2B" w:rsidR="002E76C6" w:rsidRPr="00EE7081" w:rsidRDefault="002E76C6" w:rsidP="00EA0734">
      <w:pPr>
        <w:keepLines/>
      </w:pPr>
    </w:p>
    <w:p w14:paraId="73599BD9" w14:textId="77777777" w:rsidR="00CD0AA8" w:rsidRPr="00EE7081" w:rsidRDefault="00CD0AA8" w:rsidP="00CD0AA8">
      <w:pPr>
        <w:keepLines/>
        <w:rPr>
          <w:b/>
          <w:bCs/>
        </w:rPr>
      </w:pPr>
      <w:r w:rsidRPr="00EE7081">
        <w:rPr>
          <w:b/>
          <w:bCs/>
        </w:rPr>
        <w:t>Who may apply for the grant?</w:t>
      </w:r>
    </w:p>
    <w:p w14:paraId="4FBCC6EC" w14:textId="0BEEF66F" w:rsidR="00CD0AA8" w:rsidRPr="00EE7081" w:rsidRDefault="00BA7922" w:rsidP="00CD0AA8">
      <w:pPr>
        <w:keepLines/>
      </w:pPr>
      <w:r>
        <w:t>O</w:t>
      </w:r>
      <w:r w:rsidR="00CD0AA8" w:rsidRPr="00EE7081">
        <w:t>rganization</w:t>
      </w:r>
      <w:r w:rsidR="00CD0AA8">
        <w:t xml:space="preserve">s </w:t>
      </w:r>
      <w:r w:rsidR="00CD0AA8" w:rsidRPr="00EE7081">
        <w:t xml:space="preserve">that </w:t>
      </w:r>
      <w:r w:rsidR="00CD0AA8">
        <w:t>can</w:t>
      </w:r>
      <w:r w:rsidR="00CD0AA8" w:rsidRPr="00EE7081">
        <w:t xml:space="preserve"> demonstrate</w:t>
      </w:r>
      <w:r w:rsidR="00CD0AA8">
        <w:t xml:space="preserve"> past</w:t>
      </w:r>
      <w:r w:rsidR="00CD0AA8" w:rsidRPr="00EE7081">
        <w:t xml:space="preserve"> effectiveness in providing adult education and literacy activities.</w:t>
      </w:r>
    </w:p>
    <w:p w14:paraId="57364A13" w14:textId="77777777" w:rsidR="00CD0AA8" w:rsidRDefault="00CD0AA8" w:rsidP="00EA0734">
      <w:pPr>
        <w:keepLines/>
        <w:rPr>
          <w:b/>
          <w:bCs/>
        </w:rPr>
      </w:pPr>
    </w:p>
    <w:p w14:paraId="04A77A5B" w14:textId="18282593" w:rsidR="0063513B" w:rsidRPr="00EE7081" w:rsidRDefault="0063513B" w:rsidP="00EA0734">
      <w:pPr>
        <w:keepLines/>
        <w:rPr>
          <w:b/>
          <w:bCs/>
        </w:rPr>
      </w:pPr>
      <w:r w:rsidRPr="00EE7081">
        <w:rPr>
          <w:b/>
          <w:bCs/>
        </w:rPr>
        <w:t>Where will the grant provide services?</w:t>
      </w:r>
    </w:p>
    <w:p w14:paraId="445F51F6" w14:textId="383D6CD5" w:rsidR="00CD43E0" w:rsidRDefault="00E47105" w:rsidP="00EA0734">
      <w:pPr>
        <w:keepLines/>
      </w:pPr>
      <w:r>
        <w:t>Shelby</w:t>
      </w:r>
      <w:r w:rsidR="008C2D08">
        <w:t xml:space="preserve">, Davidson, Rutherford, Hamilton, and Knox counties. </w:t>
      </w:r>
      <w:r w:rsidR="002940AB">
        <w:t>Applicants will propose their desired service area</w:t>
      </w:r>
      <w:r w:rsidR="00A32CC6">
        <w:t>.</w:t>
      </w:r>
    </w:p>
    <w:p w14:paraId="2309F679" w14:textId="77777777" w:rsidR="002940AB" w:rsidRPr="00EE7081" w:rsidRDefault="002940AB" w:rsidP="00EA0734">
      <w:pPr>
        <w:keepLines/>
      </w:pPr>
    </w:p>
    <w:p w14:paraId="5B0E6ADD" w14:textId="63369F50" w:rsidR="002E76C6" w:rsidRPr="00EE7081" w:rsidRDefault="0063513B" w:rsidP="00EA0734">
      <w:pPr>
        <w:keepLines/>
        <w:rPr>
          <w:b/>
          <w:bCs/>
        </w:rPr>
      </w:pPr>
      <w:r w:rsidRPr="00EE7081">
        <w:rPr>
          <w:b/>
          <w:bCs/>
        </w:rPr>
        <w:t>What is the grant</w:t>
      </w:r>
      <w:r w:rsidR="00F613A3">
        <w:rPr>
          <w:b/>
          <w:bCs/>
        </w:rPr>
        <w:t xml:space="preserve"> award</w:t>
      </w:r>
      <w:r w:rsidRPr="00EE7081">
        <w:rPr>
          <w:b/>
          <w:bCs/>
        </w:rPr>
        <w:t xml:space="preserve"> amount?</w:t>
      </w:r>
    </w:p>
    <w:p w14:paraId="2C31DC13" w14:textId="65895EC8" w:rsidR="0063727A" w:rsidRDefault="007C3C19" w:rsidP="0063727A">
      <w:pPr>
        <w:keepLines/>
      </w:pPr>
      <w:r>
        <w:t xml:space="preserve">Applicants will propose their desired </w:t>
      </w:r>
      <w:r w:rsidR="0073421B">
        <w:t xml:space="preserve">annual </w:t>
      </w:r>
      <w:r>
        <w:t>funding amount</w:t>
      </w:r>
      <w:r w:rsidR="00F53D7F">
        <w:t xml:space="preserve">, using </w:t>
      </w:r>
      <w:r w:rsidR="000B43FB">
        <w:t xml:space="preserve">the </w:t>
      </w:r>
      <w:r w:rsidR="00F53D7F">
        <w:t>guidance found in this document.</w:t>
      </w:r>
    </w:p>
    <w:p w14:paraId="3369A703" w14:textId="1F803B27" w:rsidR="002E76C6" w:rsidRPr="00890D05" w:rsidRDefault="002E76C6" w:rsidP="00890D05">
      <w:pPr>
        <w:keepLines/>
      </w:pPr>
      <w:r w:rsidRPr="00890D05">
        <w:t xml:space="preserve">  </w:t>
      </w:r>
    </w:p>
    <w:p w14:paraId="324374A0" w14:textId="23C59502" w:rsidR="00CD43E0" w:rsidRPr="00EE7081" w:rsidRDefault="00CD43E0" w:rsidP="00EA0734">
      <w:pPr>
        <w:keepLines/>
        <w:rPr>
          <w:b/>
          <w:bCs/>
        </w:rPr>
      </w:pPr>
      <w:r w:rsidRPr="00EE7081">
        <w:rPr>
          <w:b/>
          <w:bCs/>
        </w:rPr>
        <w:t>How will grantees receive funds?</w:t>
      </w:r>
    </w:p>
    <w:p w14:paraId="02BCDB29" w14:textId="3B44754F" w:rsidR="00CD43E0" w:rsidRPr="00EE7081" w:rsidRDefault="00CD43E0" w:rsidP="00EA0734">
      <w:pPr>
        <w:keepLines/>
      </w:pPr>
      <w:r w:rsidRPr="00EE7081">
        <w:t xml:space="preserve">Grantees will receive funds </w:t>
      </w:r>
      <w:r w:rsidR="00F90470">
        <w:t xml:space="preserve">from TDLWD </w:t>
      </w:r>
      <w:r w:rsidRPr="00EE7081">
        <w:t>through a monthly cost reimbursement process</w:t>
      </w:r>
      <w:r w:rsidR="00F90470">
        <w:t>.</w:t>
      </w:r>
    </w:p>
    <w:p w14:paraId="291489E2" w14:textId="13FA79DF" w:rsidR="00FA2722" w:rsidRPr="00EE7081" w:rsidRDefault="00FA2722" w:rsidP="00EA0734">
      <w:pPr>
        <w:keepLines/>
      </w:pPr>
    </w:p>
    <w:p w14:paraId="0B222087" w14:textId="2D454FBD" w:rsidR="00FA2722" w:rsidRPr="00EE7081" w:rsidRDefault="00FA2722" w:rsidP="00EA0734">
      <w:pPr>
        <w:keepLines/>
        <w:rPr>
          <w:b/>
          <w:bCs/>
        </w:rPr>
      </w:pPr>
      <w:r w:rsidRPr="00EE7081">
        <w:rPr>
          <w:b/>
          <w:bCs/>
        </w:rPr>
        <w:t>Is there a match requirement?</w:t>
      </w:r>
    </w:p>
    <w:p w14:paraId="5710C366" w14:textId="4F9503F5" w:rsidR="00FA2722" w:rsidRPr="00B14F86" w:rsidRDefault="00686C77" w:rsidP="00EA0734">
      <w:pPr>
        <w:keepLines/>
      </w:pPr>
      <w:r>
        <w:t xml:space="preserve">No. </w:t>
      </w:r>
      <w:r w:rsidR="003C7A05" w:rsidRPr="00B14F86">
        <w:t xml:space="preserve">TDLWD </w:t>
      </w:r>
      <w:r w:rsidR="00DB2196">
        <w:t xml:space="preserve">will </w:t>
      </w:r>
      <w:r w:rsidR="00DB2196">
        <w:rPr>
          <w:i/>
          <w:iCs/>
        </w:rPr>
        <w:t>not</w:t>
      </w:r>
      <w:r w:rsidR="00DB2196">
        <w:t xml:space="preserve"> require match for this grant</w:t>
      </w:r>
      <w:r w:rsidR="00602CC8">
        <w:t>.</w:t>
      </w:r>
      <w:r w:rsidR="00AD0EAA">
        <w:rPr>
          <w:rStyle w:val="FootnoteReference"/>
        </w:rPr>
        <w:footnoteReference w:id="2"/>
      </w:r>
      <w:r w:rsidR="00AA1A00">
        <w:t xml:space="preserve"> </w:t>
      </w:r>
    </w:p>
    <w:p w14:paraId="391A96CA" w14:textId="77777777" w:rsidR="0063513B" w:rsidRPr="00EE7081" w:rsidRDefault="0063513B" w:rsidP="00EA0734">
      <w:pPr>
        <w:keepLines/>
      </w:pPr>
    </w:p>
    <w:p w14:paraId="52503C11" w14:textId="77777777" w:rsidR="00602CC8" w:rsidRDefault="00602CC8">
      <w:pPr>
        <w:rPr>
          <w:b/>
          <w:bCs/>
        </w:rPr>
      </w:pPr>
      <w:r>
        <w:rPr>
          <w:b/>
          <w:bCs/>
        </w:rPr>
        <w:br w:type="page"/>
      </w:r>
    </w:p>
    <w:p w14:paraId="1951D365" w14:textId="799488C7" w:rsidR="006F0EED" w:rsidRDefault="006F0EED" w:rsidP="00EA0734">
      <w:pPr>
        <w:keepLines/>
        <w:rPr>
          <w:b/>
          <w:bCs/>
        </w:rPr>
      </w:pPr>
      <w:r>
        <w:rPr>
          <w:b/>
          <w:bCs/>
        </w:rPr>
        <w:lastRenderedPageBreak/>
        <w:t>Timeline</w:t>
      </w:r>
    </w:p>
    <w:p w14:paraId="161BA5E4" w14:textId="77777777" w:rsidR="0089044C" w:rsidRDefault="0089044C" w:rsidP="00EA0734">
      <w:pPr>
        <w:keepLines/>
        <w:rPr>
          <w:b/>
          <w:bCs/>
        </w:rPr>
      </w:pPr>
    </w:p>
    <w:p w14:paraId="2D0BE21F" w14:textId="538E0A26" w:rsidR="004F0E0A" w:rsidRPr="0089044C" w:rsidRDefault="004F0E0A" w:rsidP="00D90CF9">
      <w:pPr>
        <w:pStyle w:val="ListParagraph"/>
        <w:keepLines/>
        <w:numPr>
          <w:ilvl w:val="0"/>
          <w:numId w:val="16"/>
        </w:numPr>
        <w:rPr>
          <w:rFonts w:ascii="Open Sans" w:hAnsi="Open Sans"/>
        </w:rPr>
      </w:pPr>
      <w:r w:rsidRPr="0089044C">
        <w:rPr>
          <w:rFonts w:ascii="Open Sans" w:hAnsi="Open Sans"/>
          <w:b/>
          <w:bCs/>
        </w:rPr>
        <w:t>Q&amp;A available:</w:t>
      </w:r>
      <w:r w:rsidR="00EA0734" w:rsidRPr="0089044C">
        <w:rPr>
          <w:rFonts w:ascii="Open Sans" w:hAnsi="Open Sans"/>
          <w:b/>
          <w:bCs/>
        </w:rPr>
        <w:t xml:space="preserve"> </w:t>
      </w:r>
      <w:r w:rsidR="009048BE">
        <w:rPr>
          <w:rFonts w:ascii="Open Sans" w:hAnsi="Open Sans"/>
        </w:rPr>
        <w:t>March 1-</w:t>
      </w:r>
      <w:r w:rsidR="001C3E19">
        <w:rPr>
          <w:rFonts w:ascii="Open Sans" w:hAnsi="Open Sans"/>
        </w:rPr>
        <w:t>24</w:t>
      </w:r>
      <w:r w:rsidR="009048BE">
        <w:rPr>
          <w:rFonts w:ascii="Open Sans" w:hAnsi="Open Sans"/>
        </w:rPr>
        <w:t>, 2023</w:t>
      </w:r>
    </w:p>
    <w:p w14:paraId="6753A2DA" w14:textId="0033AB77" w:rsidR="00623E6F" w:rsidRPr="00623E6F" w:rsidRDefault="00B04460" w:rsidP="00D90CF9">
      <w:pPr>
        <w:pStyle w:val="ListParagraph"/>
        <w:keepLines/>
        <w:numPr>
          <w:ilvl w:val="0"/>
          <w:numId w:val="16"/>
        </w:numPr>
        <w:rPr>
          <w:rFonts w:ascii="Open Sans" w:hAnsi="Open Sans"/>
        </w:rPr>
      </w:pPr>
      <w:r>
        <w:rPr>
          <w:rFonts w:ascii="Open Sans" w:hAnsi="Open Sans"/>
          <w:b/>
          <w:bCs/>
        </w:rPr>
        <w:t>Information session</w:t>
      </w:r>
      <w:r w:rsidR="002863DD">
        <w:rPr>
          <w:rFonts w:ascii="Open Sans" w:hAnsi="Open Sans"/>
          <w:b/>
          <w:bCs/>
        </w:rPr>
        <w:t xml:space="preserve"> (</w:t>
      </w:r>
      <w:r w:rsidR="002E0167">
        <w:rPr>
          <w:rFonts w:ascii="Open Sans" w:hAnsi="Open Sans"/>
          <w:b/>
          <w:bCs/>
        </w:rPr>
        <w:t xml:space="preserve">virtual, </w:t>
      </w:r>
      <w:r w:rsidR="002863DD">
        <w:rPr>
          <w:rFonts w:ascii="Open Sans" w:hAnsi="Open Sans"/>
          <w:b/>
          <w:bCs/>
        </w:rPr>
        <w:t xml:space="preserve">optional): </w:t>
      </w:r>
      <w:r w:rsidR="004D0C9A">
        <w:rPr>
          <w:rFonts w:ascii="Open Sans" w:hAnsi="Open Sans"/>
        </w:rPr>
        <w:t xml:space="preserve">March </w:t>
      </w:r>
      <w:r w:rsidR="004D6C0D">
        <w:rPr>
          <w:rFonts w:ascii="Open Sans" w:hAnsi="Open Sans"/>
        </w:rPr>
        <w:t>2</w:t>
      </w:r>
      <w:r w:rsidR="009F0671">
        <w:rPr>
          <w:rFonts w:ascii="Open Sans" w:hAnsi="Open Sans"/>
        </w:rPr>
        <w:t>1</w:t>
      </w:r>
      <w:r w:rsidR="002863DD">
        <w:rPr>
          <w:rFonts w:ascii="Open Sans" w:hAnsi="Open Sans"/>
        </w:rPr>
        <w:t>, 2023</w:t>
      </w:r>
    </w:p>
    <w:p w14:paraId="762DCDD4" w14:textId="41AD18BF" w:rsidR="004F0E0A" w:rsidRDefault="004F0E0A" w:rsidP="00D90CF9">
      <w:pPr>
        <w:pStyle w:val="ListParagraph"/>
        <w:keepLines/>
        <w:numPr>
          <w:ilvl w:val="0"/>
          <w:numId w:val="16"/>
        </w:numPr>
        <w:rPr>
          <w:rFonts w:ascii="Open Sans" w:hAnsi="Open Sans"/>
        </w:rPr>
      </w:pPr>
      <w:r w:rsidRPr="0089044C">
        <w:rPr>
          <w:rFonts w:ascii="Open Sans" w:hAnsi="Open Sans"/>
          <w:b/>
          <w:bCs/>
        </w:rPr>
        <w:t>Application deadline:</w:t>
      </w:r>
      <w:r w:rsidRPr="0089044C">
        <w:rPr>
          <w:rFonts w:ascii="Open Sans" w:hAnsi="Open Sans"/>
        </w:rPr>
        <w:t xml:space="preserve"> </w:t>
      </w:r>
      <w:r w:rsidR="00763CF3">
        <w:rPr>
          <w:rFonts w:ascii="Open Sans" w:hAnsi="Open Sans"/>
        </w:rPr>
        <w:t>April 6</w:t>
      </w:r>
      <w:r w:rsidR="00890D05" w:rsidRPr="0089044C">
        <w:rPr>
          <w:rFonts w:ascii="Open Sans" w:hAnsi="Open Sans"/>
        </w:rPr>
        <w:t>, 2023</w:t>
      </w:r>
    </w:p>
    <w:p w14:paraId="53D2CD4A" w14:textId="373540AD" w:rsidR="008618D1" w:rsidRDefault="008618D1" w:rsidP="00D90CF9">
      <w:pPr>
        <w:pStyle w:val="ListParagraph"/>
        <w:keepLines/>
        <w:numPr>
          <w:ilvl w:val="0"/>
          <w:numId w:val="16"/>
        </w:numPr>
        <w:rPr>
          <w:rFonts w:ascii="Open Sans" w:hAnsi="Open Sans"/>
        </w:rPr>
      </w:pPr>
      <w:r>
        <w:rPr>
          <w:rFonts w:ascii="Open Sans" w:hAnsi="Open Sans"/>
          <w:b/>
          <w:bCs/>
        </w:rPr>
        <w:t>Application review and scoring</w:t>
      </w:r>
      <w:r w:rsidR="00A20EFC">
        <w:rPr>
          <w:rFonts w:ascii="Open Sans" w:hAnsi="Open Sans"/>
          <w:b/>
          <w:bCs/>
        </w:rPr>
        <w:t xml:space="preserve"> complete: </w:t>
      </w:r>
      <w:r w:rsidR="00A20EFC">
        <w:rPr>
          <w:rFonts w:ascii="Open Sans" w:hAnsi="Open Sans"/>
        </w:rPr>
        <w:t xml:space="preserve">April </w:t>
      </w:r>
      <w:r w:rsidR="00316FF1">
        <w:rPr>
          <w:rFonts w:ascii="Open Sans" w:hAnsi="Open Sans"/>
        </w:rPr>
        <w:t>21</w:t>
      </w:r>
      <w:r w:rsidR="00A20EFC">
        <w:rPr>
          <w:rFonts w:ascii="Open Sans" w:hAnsi="Open Sans"/>
        </w:rPr>
        <w:t>, 2023</w:t>
      </w:r>
    </w:p>
    <w:p w14:paraId="489CEC64" w14:textId="2E8EB7ED" w:rsidR="00D8384B" w:rsidRDefault="00A20EFC" w:rsidP="00D90CF9">
      <w:pPr>
        <w:pStyle w:val="ListParagraph"/>
        <w:keepLines/>
        <w:numPr>
          <w:ilvl w:val="0"/>
          <w:numId w:val="16"/>
        </w:numPr>
        <w:rPr>
          <w:rFonts w:ascii="Open Sans" w:hAnsi="Open Sans"/>
        </w:rPr>
      </w:pPr>
      <w:r>
        <w:rPr>
          <w:rFonts w:ascii="Open Sans" w:hAnsi="Open Sans"/>
          <w:b/>
          <w:bCs/>
        </w:rPr>
        <w:t>Negotiation of funding and service areas</w:t>
      </w:r>
      <w:r w:rsidR="00D95099">
        <w:rPr>
          <w:rFonts w:ascii="Open Sans" w:hAnsi="Open Sans"/>
          <w:b/>
          <w:bCs/>
        </w:rPr>
        <w:t xml:space="preserve">: </w:t>
      </w:r>
      <w:r w:rsidR="00D95099">
        <w:rPr>
          <w:rFonts w:ascii="Open Sans" w:hAnsi="Open Sans"/>
        </w:rPr>
        <w:t xml:space="preserve">April </w:t>
      </w:r>
      <w:r w:rsidR="00316FF1">
        <w:rPr>
          <w:rFonts w:ascii="Open Sans" w:hAnsi="Open Sans"/>
        </w:rPr>
        <w:t>2</w:t>
      </w:r>
      <w:r w:rsidR="00865D8B">
        <w:rPr>
          <w:rFonts w:ascii="Open Sans" w:hAnsi="Open Sans"/>
        </w:rPr>
        <w:t>4</w:t>
      </w:r>
      <w:r w:rsidR="00BB410D">
        <w:rPr>
          <w:rFonts w:ascii="Open Sans" w:hAnsi="Open Sans"/>
        </w:rPr>
        <w:t xml:space="preserve"> </w:t>
      </w:r>
      <w:r w:rsidR="004D0C9A">
        <w:rPr>
          <w:rFonts w:ascii="Open Sans" w:hAnsi="Open Sans"/>
        </w:rPr>
        <w:t>-</w:t>
      </w:r>
      <w:r w:rsidR="00BB410D">
        <w:rPr>
          <w:rFonts w:ascii="Open Sans" w:hAnsi="Open Sans"/>
        </w:rPr>
        <w:t xml:space="preserve"> </w:t>
      </w:r>
      <w:r w:rsidR="00316FF1">
        <w:rPr>
          <w:rFonts w:ascii="Open Sans" w:hAnsi="Open Sans"/>
        </w:rPr>
        <w:t>May 5</w:t>
      </w:r>
      <w:r w:rsidR="00D95099">
        <w:rPr>
          <w:rFonts w:ascii="Open Sans" w:hAnsi="Open Sans"/>
        </w:rPr>
        <w:t>, 2023</w:t>
      </w:r>
    </w:p>
    <w:p w14:paraId="14C4781D" w14:textId="77CA14EB" w:rsidR="0028795E" w:rsidRDefault="00E377C5" w:rsidP="00D90CF9">
      <w:pPr>
        <w:pStyle w:val="ListParagraph"/>
        <w:keepLines/>
        <w:numPr>
          <w:ilvl w:val="0"/>
          <w:numId w:val="16"/>
        </w:numPr>
        <w:spacing w:after="0"/>
        <w:contextualSpacing w:val="0"/>
        <w:rPr>
          <w:rFonts w:ascii="Open Sans" w:hAnsi="Open Sans"/>
        </w:rPr>
      </w:pPr>
      <w:r w:rsidRPr="00D8384B">
        <w:rPr>
          <w:rFonts w:ascii="Open Sans" w:hAnsi="Open Sans"/>
          <w:b/>
          <w:bCs/>
        </w:rPr>
        <w:t>Final grant awards announced:</w:t>
      </w:r>
      <w:r w:rsidR="00EA0734" w:rsidRPr="00D8384B">
        <w:rPr>
          <w:rFonts w:ascii="Open Sans" w:hAnsi="Open Sans"/>
          <w:b/>
          <w:bCs/>
        </w:rPr>
        <w:t xml:space="preserve"> </w:t>
      </w:r>
      <w:r w:rsidR="00F16DC5">
        <w:rPr>
          <w:rFonts w:ascii="Open Sans" w:hAnsi="Open Sans"/>
        </w:rPr>
        <w:t>May 12</w:t>
      </w:r>
      <w:r w:rsidR="0063727A" w:rsidRPr="00D8384B">
        <w:rPr>
          <w:rFonts w:ascii="Open Sans" w:hAnsi="Open Sans"/>
        </w:rPr>
        <w:t>,</w:t>
      </w:r>
      <w:r w:rsidR="00C93765" w:rsidRPr="00D8384B">
        <w:rPr>
          <w:rFonts w:ascii="Open Sans" w:hAnsi="Open Sans"/>
        </w:rPr>
        <w:t xml:space="preserve"> 202</w:t>
      </w:r>
      <w:r w:rsidR="00890D05" w:rsidRPr="00D8384B">
        <w:rPr>
          <w:rFonts w:ascii="Open Sans" w:hAnsi="Open Sans"/>
        </w:rPr>
        <w:t>3</w:t>
      </w:r>
    </w:p>
    <w:p w14:paraId="6DB7D9A6" w14:textId="77777777" w:rsidR="00AF3E1F" w:rsidRPr="00D8384B" w:rsidRDefault="00AF3E1F" w:rsidP="00AF3E1F">
      <w:pPr>
        <w:pStyle w:val="ListParagraph"/>
        <w:keepLines/>
        <w:spacing w:after="0"/>
        <w:contextualSpacing w:val="0"/>
        <w:rPr>
          <w:rFonts w:ascii="Open Sans" w:hAnsi="Open Sans"/>
        </w:rPr>
      </w:pPr>
    </w:p>
    <w:p w14:paraId="6580CD23" w14:textId="6F57782E" w:rsidR="00AB1304" w:rsidRPr="00EE7081" w:rsidRDefault="00CE732F" w:rsidP="00F71E24">
      <w:pPr>
        <w:pStyle w:val="Heading2"/>
      </w:pPr>
      <w:bookmarkStart w:id="4" w:name="_Toc128579607"/>
      <w:r w:rsidRPr="00EE7081">
        <w:t xml:space="preserve">Funding </w:t>
      </w:r>
      <w:r w:rsidR="00AB1304" w:rsidRPr="00EE7081">
        <w:t>Opportunit</w:t>
      </w:r>
      <w:r w:rsidR="00B7533B">
        <w:t>y</w:t>
      </w:r>
      <w:r w:rsidR="00FF0C58" w:rsidRPr="00EE7081">
        <w:t xml:space="preserve"> </w:t>
      </w:r>
      <w:r w:rsidR="00793C0D">
        <w:t>for</w:t>
      </w:r>
      <w:r w:rsidR="00FF0C58" w:rsidRPr="00EE7081">
        <w:t xml:space="preserve"> </w:t>
      </w:r>
      <w:r w:rsidR="00E6743E">
        <w:t>Integrated English literacy &amp; civics education</w:t>
      </w:r>
      <w:bookmarkEnd w:id="2"/>
      <w:bookmarkEnd w:id="4"/>
      <w:r w:rsidR="008825A5" w:rsidRPr="00EE7081">
        <w:t xml:space="preserve"> </w:t>
      </w:r>
    </w:p>
    <w:p w14:paraId="3E0D12C0" w14:textId="77777777" w:rsidR="0055499E" w:rsidRPr="00EE7081" w:rsidRDefault="0055499E" w:rsidP="00EA0734">
      <w:pPr>
        <w:keepLines/>
      </w:pPr>
    </w:p>
    <w:p w14:paraId="292FF373" w14:textId="60579FE1" w:rsidR="00A06F47" w:rsidRDefault="00C95FC8" w:rsidP="00EA0734">
      <w:pPr>
        <w:keepLines/>
      </w:pPr>
      <w:r w:rsidRPr="00EE7081">
        <w:t>The Tennessee Department of Labor and Workforce Development</w:t>
      </w:r>
      <w:r w:rsidR="0063451D">
        <w:t xml:space="preserve"> (TDLWD)</w:t>
      </w:r>
      <w:r w:rsidRPr="00EE7081">
        <w:t xml:space="preserve"> announces the availability of </w:t>
      </w:r>
      <w:r w:rsidR="008E2FBF" w:rsidRPr="00EE7081">
        <w:t xml:space="preserve">grant </w:t>
      </w:r>
      <w:r w:rsidR="00AD78F3" w:rsidRPr="00EE7081">
        <w:t xml:space="preserve">funds provided through the </w:t>
      </w:r>
      <w:r w:rsidR="007B41FE" w:rsidRPr="00EE7081">
        <w:t>Workforce Innovation and Opportunity Act</w:t>
      </w:r>
      <w:r w:rsidR="00285D78" w:rsidRPr="00EE7081">
        <w:t xml:space="preserve"> (WIOA)</w:t>
      </w:r>
      <w:r w:rsidR="007B41FE" w:rsidRPr="00EE7081">
        <w:t xml:space="preserve"> of 2014</w:t>
      </w:r>
      <w:r w:rsidR="00280B8C" w:rsidRPr="00EE7081">
        <w:t xml:space="preserve">, Title II, </w:t>
      </w:r>
      <w:r w:rsidR="00AD78F3" w:rsidRPr="00EE7081">
        <w:t>the Adult Educatio</w:t>
      </w:r>
      <w:r w:rsidR="00FB1EF9" w:rsidRPr="00EE7081">
        <w:t>n and Family Literacy Act</w:t>
      </w:r>
      <w:r w:rsidR="003E0AF9" w:rsidRPr="00EE7081">
        <w:t xml:space="preserve"> (AEFLA)</w:t>
      </w:r>
      <w:r w:rsidR="00C84A66">
        <w:t xml:space="preserve">, and through </w:t>
      </w:r>
      <w:r w:rsidR="00707B27">
        <w:t xml:space="preserve">Tennessee State Government. </w:t>
      </w:r>
      <w:r w:rsidR="0044723B">
        <w:t>The grant period will be from July 2023 – June 2027.</w:t>
      </w:r>
    </w:p>
    <w:p w14:paraId="742C02DD" w14:textId="77777777" w:rsidR="00A06F47" w:rsidRDefault="00A06F47" w:rsidP="00EA0734">
      <w:pPr>
        <w:keepLines/>
      </w:pPr>
    </w:p>
    <w:p w14:paraId="4AAE3B4E" w14:textId="305BE875" w:rsidR="00FA3FC2" w:rsidRPr="00EE7081" w:rsidRDefault="00514DA3" w:rsidP="00EA0734">
      <w:pPr>
        <w:keepLines/>
      </w:pPr>
      <w:r>
        <w:t xml:space="preserve">TDLWD </w:t>
      </w:r>
      <w:r w:rsidRPr="00EE7081">
        <w:t xml:space="preserve">requests for interested </w:t>
      </w:r>
      <w:r>
        <w:t>agencies</w:t>
      </w:r>
      <w:r w:rsidRPr="00EE7081">
        <w:t xml:space="preserve"> to submit grant applications in accordance with the requirements outlined in </w:t>
      </w:r>
      <w:r w:rsidR="00DA6A2E">
        <w:t>Section 8</w:t>
      </w:r>
      <w:r w:rsidR="00561D37">
        <w:t xml:space="preserve"> – Grant Application Guide</w:t>
      </w:r>
      <w:r w:rsidRPr="00EE7081">
        <w:t>.</w:t>
      </w:r>
      <w:r w:rsidRPr="00EE7081">
        <w:rPr>
          <w:rStyle w:val="FootnoteReference"/>
        </w:rPr>
        <w:footnoteReference w:id="3"/>
      </w:r>
      <w:r w:rsidR="00521391">
        <w:t xml:space="preserve"> </w:t>
      </w:r>
      <w:r w:rsidR="00A61E7A">
        <w:t xml:space="preserve">Only </w:t>
      </w:r>
      <w:r w:rsidR="00790B83">
        <w:t>agencies who are “eligible providers”</w:t>
      </w:r>
      <w:r w:rsidR="00826027">
        <w:t xml:space="preserve">, as </w:t>
      </w:r>
      <w:r w:rsidR="00C4194E">
        <w:t>defined</w:t>
      </w:r>
      <w:r w:rsidR="00826027">
        <w:t xml:space="preserve"> in this </w:t>
      </w:r>
      <w:r w:rsidR="000A65C0">
        <w:t>section,</w:t>
      </w:r>
      <w:r w:rsidR="00790B83">
        <w:t xml:space="preserve"> will be cons</w:t>
      </w:r>
      <w:r w:rsidR="003B5B7C">
        <w:t xml:space="preserve">idered for </w:t>
      </w:r>
      <w:r w:rsidR="000934C6">
        <w:t>fu</w:t>
      </w:r>
      <w:r w:rsidR="002F47C5">
        <w:t>nding</w:t>
      </w:r>
      <w:r w:rsidR="00C865BB">
        <w:t xml:space="preserve">. </w:t>
      </w:r>
      <w:r w:rsidR="009E3B88">
        <w:t>Applications will be reviewed and scored to determine which agencies qualify for funding</w:t>
      </w:r>
      <w:r w:rsidR="003543A0">
        <w:t>.</w:t>
      </w:r>
    </w:p>
    <w:p w14:paraId="5F5C75F6" w14:textId="77777777" w:rsidR="00FA3FC2" w:rsidRPr="00EE7081" w:rsidRDefault="00FA3FC2" w:rsidP="00EA0734">
      <w:pPr>
        <w:keepLines/>
      </w:pPr>
    </w:p>
    <w:p w14:paraId="2F911591" w14:textId="15CB9B1F" w:rsidR="00E6678A" w:rsidRDefault="00E6678A" w:rsidP="003615C7">
      <w:pPr>
        <w:keepLines/>
        <w:contextualSpacing/>
        <w:rPr>
          <w:rStyle w:val="Heading3Char"/>
        </w:rPr>
      </w:pPr>
      <w:r w:rsidRPr="00FD0F5A">
        <w:rPr>
          <w:rStyle w:val="Heading3Char"/>
        </w:rPr>
        <w:t>Purpose of Adult Education</w:t>
      </w:r>
      <w:r w:rsidRPr="00B83B02">
        <w:rPr>
          <w:rStyle w:val="FootnoteReference"/>
          <w:b/>
          <w:bCs/>
          <w:szCs w:val="18"/>
        </w:rPr>
        <w:footnoteReference w:id="4"/>
      </w:r>
    </w:p>
    <w:p w14:paraId="665B4896" w14:textId="77777777" w:rsidR="003615C7" w:rsidRDefault="003615C7" w:rsidP="003615C7">
      <w:pPr>
        <w:keepLines/>
        <w:contextualSpacing/>
        <w:rPr>
          <w:i/>
          <w:iCs/>
        </w:rPr>
      </w:pPr>
    </w:p>
    <w:p w14:paraId="6BF52C99" w14:textId="28AA3B8D" w:rsidR="00E6678A" w:rsidRDefault="00E6678A" w:rsidP="00E6678A">
      <w:pPr>
        <w:keepLines/>
        <w:spacing w:after="120"/>
        <w:contextualSpacing/>
      </w:pPr>
      <w:r>
        <w:t xml:space="preserve">Grantees must develop, implement, and improve an </w:t>
      </w:r>
      <w:r w:rsidR="002E3918">
        <w:t>Integrated English Literacy &amp; Civi</w:t>
      </w:r>
      <w:r w:rsidR="006D4664">
        <w:t>c</w:t>
      </w:r>
      <w:r w:rsidR="002E3918">
        <w:t xml:space="preserve">s Education (IELCE) </w:t>
      </w:r>
      <w:r>
        <w:t xml:space="preserve">program in the communities throughout their service delivery area. The purpose of the </w:t>
      </w:r>
      <w:r w:rsidR="00C04C06">
        <w:t>IELCE</w:t>
      </w:r>
      <w:r>
        <w:t xml:space="preserve"> program is to provide adult education and literacy activities </w:t>
      </w:r>
      <w:proofErr w:type="gramStart"/>
      <w:r>
        <w:t>in order to</w:t>
      </w:r>
      <w:proofErr w:type="gramEnd"/>
      <w:r>
        <w:t>:</w:t>
      </w:r>
    </w:p>
    <w:p w14:paraId="37BCCA04" w14:textId="77777777" w:rsidR="00E6678A" w:rsidRPr="009173AE" w:rsidRDefault="00E6678A" w:rsidP="00D90CF9">
      <w:pPr>
        <w:pStyle w:val="ListParagraph"/>
        <w:numPr>
          <w:ilvl w:val="0"/>
          <w:numId w:val="18"/>
        </w:numPr>
        <w:spacing w:after="120" w:line="240" w:lineRule="auto"/>
        <w:contextualSpacing w:val="0"/>
        <w:rPr>
          <w:rFonts w:ascii="Open Sans" w:eastAsia="Times New Roman" w:hAnsi="Open Sans"/>
        </w:rPr>
      </w:pPr>
      <w:r w:rsidRPr="009173AE">
        <w:rPr>
          <w:rFonts w:ascii="Open Sans" w:eastAsia="Times New Roman" w:hAnsi="Open Sans"/>
        </w:rPr>
        <w:t xml:space="preserve">Assist adults to become literate and obtain the knowledge and skills necessary for employment and economic self-sufficiency; </w:t>
      </w:r>
    </w:p>
    <w:p w14:paraId="609ECC99" w14:textId="77777777" w:rsidR="00E6678A" w:rsidRPr="009173AE" w:rsidRDefault="00E6678A" w:rsidP="00D90CF9">
      <w:pPr>
        <w:pStyle w:val="ListParagraph"/>
        <w:numPr>
          <w:ilvl w:val="0"/>
          <w:numId w:val="18"/>
        </w:numPr>
        <w:spacing w:after="120" w:line="240" w:lineRule="auto"/>
        <w:contextualSpacing w:val="0"/>
        <w:rPr>
          <w:rFonts w:ascii="Open Sans" w:eastAsia="Times New Roman" w:hAnsi="Open Sans"/>
        </w:rPr>
      </w:pPr>
      <w:r w:rsidRPr="009173AE">
        <w:rPr>
          <w:rFonts w:ascii="Open Sans" w:eastAsia="Times New Roman" w:hAnsi="Open Sans"/>
        </w:rPr>
        <w:t>Assist adults who are parents or family members to obtain the education and skills that –</w:t>
      </w:r>
    </w:p>
    <w:p w14:paraId="471BFEEB" w14:textId="77777777" w:rsidR="00E6678A" w:rsidRPr="009173AE" w:rsidRDefault="00E6678A" w:rsidP="00D90CF9">
      <w:pPr>
        <w:pStyle w:val="ListParagraph"/>
        <w:numPr>
          <w:ilvl w:val="1"/>
          <w:numId w:val="18"/>
        </w:numPr>
        <w:spacing w:after="120" w:line="240" w:lineRule="auto"/>
        <w:contextualSpacing w:val="0"/>
        <w:rPr>
          <w:rFonts w:ascii="Open Sans" w:eastAsia="Times New Roman" w:hAnsi="Open Sans"/>
        </w:rPr>
      </w:pPr>
      <w:r w:rsidRPr="009173AE">
        <w:rPr>
          <w:rFonts w:ascii="Open Sans" w:eastAsia="Times New Roman" w:hAnsi="Open Sans"/>
        </w:rPr>
        <w:t>Are necessary to becoming full partners in the educational development of their children; and</w:t>
      </w:r>
    </w:p>
    <w:p w14:paraId="180F6872" w14:textId="77777777" w:rsidR="00E6678A" w:rsidRPr="009173AE" w:rsidRDefault="00E6678A" w:rsidP="00D90CF9">
      <w:pPr>
        <w:pStyle w:val="ListParagraph"/>
        <w:numPr>
          <w:ilvl w:val="1"/>
          <w:numId w:val="18"/>
        </w:numPr>
        <w:spacing w:after="120" w:line="240" w:lineRule="auto"/>
        <w:contextualSpacing w:val="0"/>
        <w:rPr>
          <w:rFonts w:ascii="Open Sans" w:eastAsia="Times New Roman" w:hAnsi="Open Sans"/>
        </w:rPr>
      </w:pPr>
      <w:r w:rsidRPr="009173AE">
        <w:rPr>
          <w:rFonts w:ascii="Open Sans" w:eastAsia="Times New Roman" w:hAnsi="Open Sans"/>
        </w:rPr>
        <w:lastRenderedPageBreak/>
        <w:t>Lead to sustainable improvements in the economic opportunities for their family;</w:t>
      </w:r>
    </w:p>
    <w:p w14:paraId="2226A68C" w14:textId="77777777" w:rsidR="00E6678A" w:rsidRPr="009173AE" w:rsidRDefault="00E6678A" w:rsidP="00D90CF9">
      <w:pPr>
        <w:pStyle w:val="ListParagraph"/>
        <w:numPr>
          <w:ilvl w:val="0"/>
          <w:numId w:val="18"/>
        </w:numPr>
        <w:spacing w:after="120" w:line="240" w:lineRule="auto"/>
        <w:contextualSpacing w:val="0"/>
        <w:rPr>
          <w:rFonts w:ascii="Open Sans" w:eastAsia="Times New Roman" w:hAnsi="Open Sans"/>
        </w:rPr>
      </w:pPr>
      <w:r w:rsidRPr="009173AE">
        <w:rPr>
          <w:rFonts w:ascii="Open Sans" w:eastAsia="Times New Roman" w:hAnsi="Open Sans"/>
        </w:rPr>
        <w:t>Assist adults in attaining a secondary school diploma or its recognized equivalent and in the transition to postsecondary education and training, through career pathways; and</w:t>
      </w:r>
    </w:p>
    <w:p w14:paraId="3FD00720" w14:textId="77777777" w:rsidR="00E6678A" w:rsidRPr="009173AE" w:rsidRDefault="00E6678A" w:rsidP="00D90CF9">
      <w:pPr>
        <w:pStyle w:val="ListParagraph"/>
        <w:numPr>
          <w:ilvl w:val="0"/>
          <w:numId w:val="18"/>
        </w:numPr>
        <w:spacing w:after="120" w:line="240" w:lineRule="auto"/>
        <w:contextualSpacing w:val="0"/>
        <w:rPr>
          <w:rFonts w:ascii="Open Sans" w:eastAsia="Times New Roman" w:hAnsi="Open Sans"/>
        </w:rPr>
      </w:pPr>
      <w:r w:rsidRPr="009173AE">
        <w:rPr>
          <w:rFonts w:ascii="Open Sans" w:eastAsia="Times New Roman" w:hAnsi="Open Sans"/>
        </w:rPr>
        <w:t>Assist immigrants and other individuals who are English language learners in –</w:t>
      </w:r>
    </w:p>
    <w:p w14:paraId="2AAE2E4B" w14:textId="77777777" w:rsidR="00E6678A" w:rsidRPr="009173AE" w:rsidRDefault="00E6678A" w:rsidP="00D90CF9">
      <w:pPr>
        <w:pStyle w:val="ListParagraph"/>
        <w:numPr>
          <w:ilvl w:val="1"/>
          <w:numId w:val="18"/>
        </w:numPr>
        <w:spacing w:after="120" w:line="240" w:lineRule="auto"/>
        <w:contextualSpacing w:val="0"/>
        <w:rPr>
          <w:rFonts w:ascii="Open Sans" w:eastAsia="Times New Roman" w:hAnsi="Open Sans"/>
        </w:rPr>
      </w:pPr>
      <w:r w:rsidRPr="009173AE">
        <w:rPr>
          <w:rFonts w:ascii="Open Sans" w:eastAsia="Times New Roman" w:hAnsi="Open Sans"/>
        </w:rPr>
        <w:t>Improving their –</w:t>
      </w:r>
    </w:p>
    <w:p w14:paraId="7732BAA6" w14:textId="77777777" w:rsidR="00E6678A" w:rsidRPr="009173AE" w:rsidRDefault="00E6678A" w:rsidP="00D90CF9">
      <w:pPr>
        <w:pStyle w:val="ListParagraph"/>
        <w:numPr>
          <w:ilvl w:val="2"/>
          <w:numId w:val="18"/>
        </w:numPr>
        <w:spacing w:after="120" w:line="240" w:lineRule="auto"/>
        <w:contextualSpacing w:val="0"/>
        <w:rPr>
          <w:rFonts w:ascii="Open Sans" w:eastAsia="Times New Roman" w:hAnsi="Open Sans"/>
        </w:rPr>
      </w:pPr>
      <w:r w:rsidRPr="009173AE">
        <w:rPr>
          <w:rFonts w:ascii="Open Sans" w:eastAsia="Times New Roman" w:hAnsi="Open Sans"/>
        </w:rPr>
        <w:t>Reading, writing, speaking, and comprehension skills in English; and</w:t>
      </w:r>
    </w:p>
    <w:p w14:paraId="702F767A" w14:textId="77777777" w:rsidR="00E6678A" w:rsidRPr="009173AE" w:rsidRDefault="00E6678A" w:rsidP="00D90CF9">
      <w:pPr>
        <w:pStyle w:val="ListParagraph"/>
        <w:numPr>
          <w:ilvl w:val="2"/>
          <w:numId w:val="18"/>
        </w:numPr>
        <w:spacing w:after="120" w:line="240" w:lineRule="auto"/>
        <w:contextualSpacing w:val="0"/>
        <w:rPr>
          <w:rFonts w:ascii="Open Sans" w:eastAsia="Times New Roman" w:hAnsi="Open Sans"/>
        </w:rPr>
      </w:pPr>
      <w:r w:rsidRPr="009173AE">
        <w:rPr>
          <w:rFonts w:ascii="Open Sans" w:eastAsia="Times New Roman" w:hAnsi="Open Sans"/>
        </w:rPr>
        <w:t>Mathematics skills; and</w:t>
      </w:r>
    </w:p>
    <w:p w14:paraId="67E1100B" w14:textId="77777777" w:rsidR="00E6678A" w:rsidRDefault="00E6678A" w:rsidP="00D90CF9">
      <w:pPr>
        <w:pStyle w:val="ListParagraph"/>
        <w:keepLines/>
        <w:numPr>
          <w:ilvl w:val="1"/>
          <w:numId w:val="18"/>
        </w:numPr>
        <w:spacing w:after="0" w:line="240" w:lineRule="auto"/>
        <w:rPr>
          <w:rFonts w:ascii="Open Sans" w:eastAsia="Times New Roman" w:hAnsi="Open Sans"/>
        </w:rPr>
      </w:pPr>
      <w:r w:rsidRPr="009173AE">
        <w:rPr>
          <w:rFonts w:ascii="Open Sans" w:eastAsia="Times New Roman" w:hAnsi="Open Sans"/>
        </w:rPr>
        <w:t>Acquiring an understanding of the American system of Government, individual freedom, and the responsibilities of citizenship.</w:t>
      </w:r>
    </w:p>
    <w:p w14:paraId="4BD143EB" w14:textId="77777777" w:rsidR="00023A43" w:rsidRDefault="00023A43" w:rsidP="00915C5D">
      <w:pPr>
        <w:keepLines/>
      </w:pPr>
    </w:p>
    <w:p w14:paraId="4C33E83D" w14:textId="7CC787E1" w:rsidR="00E61DBD" w:rsidRDefault="00E61DBD" w:rsidP="00E61DBD">
      <w:pPr>
        <w:pStyle w:val="Heading3"/>
      </w:pPr>
      <w:r>
        <w:t>service area</w:t>
      </w:r>
      <w:r w:rsidR="003E55AE">
        <w:t xml:space="preserve"> &amp; </w:t>
      </w:r>
      <w:r>
        <w:t>Funding</w:t>
      </w:r>
      <w:r w:rsidR="009C238C">
        <w:t xml:space="preserve"> proposals</w:t>
      </w:r>
    </w:p>
    <w:p w14:paraId="7028117D" w14:textId="77777777" w:rsidR="00E61DBD" w:rsidRDefault="00E61DBD" w:rsidP="00C24839">
      <w:pPr>
        <w:keepLines/>
        <w:rPr>
          <w:b/>
          <w:bCs/>
        </w:rPr>
      </w:pPr>
    </w:p>
    <w:p w14:paraId="5DC95C39" w14:textId="7E452661" w:rsidR="006A4360" w:rsidRDefault="00446592" w:rsidP="00FC6491">
      <w:pPr>
        <w:keepLines/>
      </w:pPr>
      <w:r w:rsidRPr="00F27EAC">
        <w:rPr>
          <w:b/>
          <w:bCs/>
        </w:rPr>
        <w:t xml:space="preserve">Grant applicants will </w:t>
      </w:r>
      <w:r w:rsidR="00AC50CC" w:rsidRPr="00F27EAC">
        <w:rPr>
          <w:b/>
          <w:bCs/>
        </w:rPr>
        <w:t>propose</w:t>
      </w:r>
      <w:r w:rsidRPr="00F27EAC">
        <w:rPr>
          <w:b/>
          <w:bCs/>
        </w:rPr>
        <w:t xml:space="preserve"> their desired service area and </w:t>
      </w:r>
      <w:r w:rsidR="00510715">
        <w:rPr>
          <w:b/>
          <w:bCs/>
        </w:rPr>
        <w:t xml:space="preserve">yearly </w:t>
      </w:r>
      <w:r w:rsidR="003D188A">
        <w:rPr>
          <w:b/>
          <w:bCs/>
        </w:rPr>
        <w:t xml:space="preserve">base </w:t>
      </w:r>
      <w:r w:rsidR="00237C43" w:rsidRPr="00F27EAC">
        <w:rPr>
          <w:b/>
          <w:bCs/>
        </w:rPr>
        <w:t>funding</w:t>
      </w:r>
      <w:r w:rsidR="0029253C" w:rsidRPr="00F27EAC">
        <w:rPr>
          <w:b/>
          <w:bCs/>
        </w:rPr>
        <w:t xml:space="preserve"> </w:t>
      </w:r>
      <w:r w:rsidR="00C42D60" w:rsidRPr="00F27EAC">
        <w:rPr>
          <w:b/>
          <w:bCs/>
        </w:rPr>
        <w:t xml:space="preserve">amount </w:t>
      </w:r>
      <w:r w:rsidR="004D070C">
        <w:rPr>
          <w:b/>
          <w:bCs/>
        </w:rPr>
        <w:t xml:space="preserve">on the cover page </w:t>
      </w:r>
      <w:r w:rsidR="007612F0">
        <w:rPr>
          <w:b/>
          <w:bCs/>
        </w:rPr>
        <w:t>of</w:t>
      </w:r>
      <w:r w:rsidR="0029253C" w:rsidRPr="00F27EAC">
        <w:rPr>
          <w:b/>
          <w:bCs/>
        </w:rPr>
        <w:t xml:space="preserve"> their grant application</w:t>
      </w:r>
      <w:r w:rsidR="00410865">
        <w:rPr>
          <w:b/>
          <w:bCs/>
        </w:rPr>
        <w:t xml:space="preserve"> (see Appendix B)</w:t>
      </w:r>
      <w:r w:rsidR="002E5D2E" w:rsidRPr="00F27EAC">
        <w:rPr>
          <w:b/>
          <w:bCs/>
        </w:rPr>
        <w:t>.</w:t>
      </w:r>
      <w:r w:rsidR="002E5D2E" w:rsidRPr="00F27EAC">
        <w:t xml:space="preserve"> </w:t>
      </w:r>
    </w:p>
    <w:p w14:paraId="12DAAD76" w14:textId="77777777" w:rsidR="006A4360" w:rsidRDefault="006A4360" w:rsidP="00FC6491">
      <w:pPr>
        <w:keepLines/>
      </w:pPr>
    </w:p>
    <w:p w14:paraId="54FAA25B" w14:textId="6FB12C07" w:rsidR="00EA2D4D" w:rsidRDefault="006A6F86" w:rsidP="00EA2D4D">
      <w:pPr>
        <w:keepLines/>
        <w:rPr>
          <w:color w:val="000000"/>
        </w:rPr>
      </w:pPr>
      <w:r>
        <w:t xml:space="preserve">Applicants </w:t>
      </w:r>
      <w:r w:rsidR="00F3634A">
        <w:t>must indicate which</w:t>
      </w:r>
      <w:r w:rsidR="00A97650">
        <w:t xml:space="preserve"> of the following</w:t>
      </w:r>
      <w:r w:rsidR="00F3634A">
        <w:t xml:space="preserve"> </w:t>
      </w:r>
      <w:r w:rsidR="005258DA">
        <w:t>county</w:t>
      </w:r>
      <w:r w:rsidR="00873A32">
        <w:t xml:space="preserve"> or counties</w:t>
      </w:r>
      <w:r w:rsidR="00A2213F">
        <w:t xml:space="preserve"> </w:t>
      </w:r>
      <w:r w:rsidR="00903604">
        <w:t xml:space="preserve">they </w:t>
      </w:r>
      <w:r w:rsidR="006D618F">
        <w:t>propose to serve</w:t>
      </w:r>
      <w:r w:rsidR="00A34FCF">
        <w:t>:</w:t>
      </w:r>
      <w:r w:rsidR="00A34FCF" w:rsidRPr="00A34FCF">
        <w:t xml:space="preserve"> </w:t>
      </w:r>
      <w:r w:rsidR="00A34FCF">
        <w:t xml:space="preserve">Shelby, Davidson, Rutherford, Hamilton, and Knox counties. Especially for Davidson/Rutherford, applicants should consider whether to propose one or </w:t>
      </w:r>
      <w:proofErr w:type="gramStart"/>
      <w:r w:rsidR="00A34FCF">
        <w:t>both of the counties</w:t>
      </w:r>
      <w:proofErr w:type="gramEnd"/>
      <w:r w:rsidR="00A34FCF">
        <w:t xml:space="preserve">. </w:t>
      </w:r>
      <w:r w:rsidR="00E14B42">
        <w:rPr>
          <w:color w:val="000000"/>
        </w:rPr>
        <w:t xml:space="preserve">TDLWD may allow for multiple agencies to serve </w:t>
      </w:r>
      <w:r w:rsidR="00A2213F">
        <w:rPr>
          <w:color w:val="000000"/>
        </w:rPr>
        <w:t>in an area</w:t>
      </w:r>
      <w:r w:rsidR="00E14B42">
        <w:rPr>
          <w:color w:val="000000"/>
        </w:rPr>
        <w:t xml:space="preserve"> depending on the need. </w:t>
      </w:r>
      <w:r w:rsidR="009846D0">
        <w:rPr>
          <w:color w:val="000000"/>
        </w:rPr>
        <w:t xml:space="preserve">Applicants may also consider </w:t>
      </w:r>
      <w:r w:rsidR="0094543E">
        <w:rPr>
          <w:color w:val="000000"/>
        </w:rPr>
        <w:t>partnering together for a</w:t>
      </w:r>
      <w:r w:rsidR="009846D0">
        <w:rPr>
          <w:color w:val="000000"/>
        </w:rPr>
        <w:t xml:space="preserve"> consortium model of application</w:t>
      </w:r>
      <w:r w:rsidR="00532F5D">
        <w:rPr>
          <w:color w:val="000000"/>
        </w:rPr>
        <w:t>.</w:t>
      </w:r>
      <w:r w:rsidR="00532F5D">
        <w:rPr>
          <w:rStyle w:val="FootnoteReference"/>
          <w:color w:val="000000"/>
        </w:rPr>
        <w:footnoteReference w:id="5"/>
      </w:r>
    </w:p>
    <w:p w14:paraId="48535D88" w14:textId="77777777" w:rsidR="00AB274B" w:rsidRDefault="00AB274B" w:rsidP="00EA2D4D">
      <w:pPr>
        <w:keepLines/>
        <w:rPr>
          <w:color w:val="000000"/>
        </w:rPr>
      </w:pPr>
    </w:p>
    <w:p w14:paraId="6F3FADF9" w14:textId="4FF5D1F5" w:rsidR="00EA2D4D" w:rsidRPr="006C048C" w:rsidRDefault="00000000" w:rsidP="00FC6491">
      <w:pPr>
        <w:keepLines/>
        <w:rPr>
          <w:b/>
          <w:bCs/>
        </w:rPr>
      </w:pPr>
      <w:hyperlink r:id="rId19" w:history="1">
        <w:r w:rsidR="006C048C" w:rsidRPr="00CE0448">
          <w:rPr>
            <w:rStyle w:val="Hyperlink"/>
            <w:b/>
            <w:bCs/>
          </w:rPr>
          <w:t>Click here for link to p</w:t>
        </w:r>
        <w:r w:rsidR="007C5128" w:rsidRPr="00CE0448">
          <w:rPr>
            <w:rStyle w:val="Hyperlink"/>
            <w:b/>
            <w:bCs/>
          </w:rPr>
          <w:t>otential-to-serve population data for each county</w:t>
        </w:r>
      </w:hyperlink>
    </w:p>
    <w:p w14:paraId="21B9D7C6" w14:textId="77777777" w:rsidR="006A4360" w:rsidRDefault="006A4360" w:rsidP="00FC6491">
      <w:pPr>
        <w:keepLines/>
      </w:pPr>
    </w:p>
    <w:p w14:paraId="2E768F56" w14:textId="6D3A7ABC" w:rsidR="006F72EE" w:rsidRDefault="00C24839" w:rsidP="00FC6491">
      <w:pPr>
        <w:keepLines/>
      </w:pPr>
      <w:r w:rsidRPr="00F27EAC">
        <w:t xml:space="preserve">Applications must include budget proposals that </w:t>
      </w:r>
      <w:r w:rsidR="005D5CFF" w:rsidRPr="00F27EAC">
        <w:t>demonstrate</w:t>
      </w:r>
      <w:r w:rsidRPr="00F27EAC">
        <w:t xml:space="preserve"> how funds w</w:t>
      </w:r>
      <w:r w:rsidR="002868DE" w:rsidRPr="00F27EAC">
        <w:t>ould be used in the first year</w:t>
      </w:r>
      <w:r w:rsidR="008717E6" w:rsidRPr="00F27EAC">
        <w:t xml:space="preserve"> of the grant</w:t>
      </w:r>
      <w:r w:rsidR="00B1675A">
        <w:t xml:space="preserve">. </w:t>
      </w:r>
      <w:r w:rsidR="00EE5CE4">
        <w:t>B</w:t>
      </w:r>
      <w:r w:rsidR="004512B8" w:rsidRPr="00F27EAC">
        <w:t>udget</w:t>
      </w:r>
      <w:r w:rsidR="007479E7" w:rsidRPr="00F27EAC">
        <w:t xml:space="preserve"> proposals must align with the parameters and guidelines </w:t>
      </w:r>
      <w:r w:rsidR="009F22BB">
        <w:t xml:space="preserve">provided in </w:t>
      </w:r>
      <w:r w:rsidR="009D6158">
        <w:t>the budget guid</w:t>
      </w:r>
      <w:r w:rsidR="003A1E01">
        <w:t>ance (see Appendix C</w:t>
      </w:r>
      <w:r w:rsidR="00974B4F" w:rsidRPr="00F27EAC">
        <w:t>)</w:t>
      </w:r>
      <w:r w:rsidR="007D0663">
        <w:t xml:space="preserve">, and the scope of the </w:t>
      </w:r>
      <w:r w:rsidR="00DE4328">
        <w:t>budget</w:t>
      </w:r>
      <w:r w:rsidR="007D0663">
        <w:t xml:space="preserve"> must</w:t>
      </w:r>
      <w:r w:rsidR="00CD3947">
        <w:t xml:space="preserve"> be congruent with</w:t>
      </w:r>
      <w:r w:rsidR="00DE4328">
        <w:t xml:space="preserve"> </w:t>
      </w:r>
      <w:r w:rsidR="00B91D09">
        <w:t xml:space="preserve">the proposed </w:t>
      </w:r>
      <w:r w:rsidR="00396750">
        <w:t>program design</w:t>
      </w:r>
      <w:r w:rsidR="005F174E">
        <w:t xml:space="preserve"> and </w:t>
      </w:r>
      <w:r w:rsidR="00F343E3">
        <w:t>potential-to-serve population</w:t>
      </w:r>
      <w:r w:rsidR="007E4AA6">
        <w:t>.</w:t>
      </w:r>
    </w:p>
    <w:p w14:paraId="77837AE6" w14:textId="77777777" w:rsidR="006F72EE" w:rsidRDefault="006F72EE">
      <w:r>
        <w:br w:type="page"/>
      </w:r>
    </w:p>
    <w:p w14:paraId="749C961C" w14:textId="58C4E4BF" w:rsidR="00CE31B2" w:rsidRDefault="002F1514" w:rsidP="00CE31B2">
      <w:pPr>
        <w:pStyle w:val="Heading3"/>
      </w:pPr>
      <w:r>
        <w:lastRenderedPageBreak/>
        <w:t xml:space="preserve">IELCE &amp; </w:t>
      </w:r>
      <w:r w:rsidR="00CE31B2">
        <w:t>state ae general funding</w:t>
      </w:r>
    </w:p>
    <w:p w14:paraId="3637A13D" w14:textId="77777777" w:rsidR="00CE31B2" w:rsidRDefault="00CE31B2" w:rsidP="00CE31B2">
      <w:pPr>
        <w:keepLines/>
      </w:pPr>
    </w:p>
    <w:p w14:paraId="7F521399" w14:textId="65F804A2" w:rsidR="00CE31B2" w:rsidRDefault="00CE31B2" w:rsidP="00CE31B2">
      <w:pPr>
        <w:keepLines/>
      </w:pPr>
      <w:r>
        <w:t xml:space="preserve">Applicants </w:t>
      </w:r>
      <w:r w:rsidR="0067459F">
        <w:t xml:space="preserve">will </w:t>
      </w:r>
      <w:r w:rsidR="000D15A6">
        <w:t>s</w:t>
      </w:r>
      <w:r>
        <w:t>ubmit a budget proposal with the application</w:t>
      </w:r>
      <w:r w:rsidR="000D15A6">
        <w:t xml:space="preserve"> that </w:t>
      </w:r>
      <w:r w:rsidR="007E0FEF">
        <w:t xml:space="preserve">details the desired funding amount for </w:t>
      </w:r>
      <w:r w:rsidR="002F1514">
        <w:t>IELCE</w:t>
      </w:r>
      <w:r>
        <w:t>.</w:t>
      </w:r>
      <w:r w:rsidR="000D15A6">
        <w:t xml:space="preserve"> </w:t>
      </w:r>
      <w:r>
        <w:t xml:space="preserve">TDLWD will </w:t>
      </w:r>
      <w:r w:rsidR="0067459F">
        <w:t xml:space="preserve">also </w:t>
      </w:r>
      <w:r>
        <w:t xml:space="preserve">provide grantees with supplemental “State AE General" funds each year. These funds are to provide services and activities such as high school equivalency exam vouchers and test administration, graduation ceremonies, workforce readiness credentials, or supplementing AE program activities. </w:t>
      </w:r>
      <w:r w:rsidR="0067459F">
        <w:t xml:space="preserve">Applicants will </w:t>
      </w:r>
      <w:r w:rsidR="0067459F">
        <w:rPr>
          <w:i/>
          <w:iCs/>
        </w:rPr>
        <w:t>not</w:t>
      </w:r>
      <w:r w:rsidR="0067459F">
        <w:t xml:space="preserve"> submit a budget for</w:t>
      </w:r>
      <w:r w:rsidR="00FE0CA4">
        <w:t xml:space="preserve"> State AE General funds; </w:t>
      </w:r>
      <w:r>
        <w:t>TDLWD will allocate t</w:t>
      </w:r>
      <w:r w:rsidR="00FE0CA4">
        <w:t xml:space="preserve">hese </w:t>
      </w:r>
      <w:r>
        <w:t>funds after grantees are determined.</w:t>
      </w:r>
    </w:p>
    <w:p w14:paraId="4CB4FA85" w14:textId="77777777" w:rsidR="00CE31B2" w:rsidRDefault="00CE31B2" w:rsidP="00A772FB">
      <w:pPr>
        <w:pStyle w:val="Heading3"/>
      </w:pPr>
    </w:p>
    <w:p w14:paraId="34173774" w14:textId="55FBA11F" w:rsidR="00593E74" w:rsidRDefault="006809E5" w:rsidP="00A772FB">
      <w:pPr>
        <w:pStyle w:val="Heading3"/>
      </w:pPr>
      <w:r>
        <w:t xml:space="preserve">Negotiations &amp; </w:t>
      </w:r>
      <w:r w:rsidR="0004276C">
        <w:t xml:space="preserve">grant </w:t>
      </w:r>
      <w:r>
        <w:t>Awards</w:t>
      </w:r>
    </w:p>
    <w:p w14:paraId="0C64F762" w14:textId="77777777" w:rsidR="00A772FB" w:rsidRDefault="00A772FB" w:rsidP="00A772FB"/>
    <w:p w14:paraId="5E52FD32" w14:textId="1B5CC296" w:rsidR="00867E68" w:rsidRDefault="00A772FB" w:rsidP="00A772FB">
      <w:pPr>
        <w:keepLines/>
      </w:pPr>
      <w:r w:rsidRPr="00BE3FA4">
        <w:t xml:space="preserve">Applications </w:t>
      </w:r>
      <w:r>
        <w:t>with the highest scores for a given proposed area will qualify for grant awards.</w:t>
      </w:r>
      <w:r w:rsidRPr="00BE3FA4">
        <w:t xml:space="preserve"> </w:t>
      </w:r>
      <w:r>
        <w:t xml:space="preserve">However, the actual award may differ from the proposal </w:t>
      </w:r>
      <w:proofErr w:type="gramStart"/>
      <w:r>
        <w:t>in order to</w:t>
      </w:r>
      <w:proofErr w:type="gramEnd"/>
      <w:r>
        <w:t xml:space="preserve"> meet the needs of the statewide Adult Education program</w:t>
      </w:r>
      <w:r w:rsidR="00DC439E">
        <w:t xml:space="preserve"> and ensure funds </w:t>
      </w:r>
      <w:r w:rsidRPr="00BE3FA4">
        <w:t xml:space="preserve">are </w:t>
      </w:r>
      <w:r>
        <w:t xml:space="preserve">equitably </w:t>
      </w:r>
      <w:r w:rsidRPr="00BE3FA4">
        <w:t>distributed</w:t>
      </w:r>
      <w:r>
        <w:t xml:space="preserve">. </w:t>
      </w:r>
    </w:p>
    <w:p w14:paraId="0E27ACE4" w14:textId="77777777" w:rsidR="00867E68" w:rsidRDefault="00867E68" w:rsidP="00A772FB">
      <w:pPr>
        <w:keepLines/>
      </w:pPr>
    </w:p>
    <w:p w14:paraId="5B89EEA2" w14:textId="30C845BA" w:rsidR="00A772FB" w:rsidRDefault="00A772FB" w:rsidP="00A772FB">
      <w:pPr>
        <w:keepLines/>
      </w:pPr>
      <w:r>
        <w:t>Qualifying applicants</w:t>
      </w:r>
      <w:r w:rsidRPr="00BE3FA4">
        <w:t xml:space="preserve"> must be </w:t>
      </w:r>
      <w:r>
        <w:t>open</w:t>
      </w:r>
      <w:r w:rsidRPr="00BE3FA4">
        <w:t xml:space="preserve"> to </w:t>
      </w:r>
      <w:r>
        <w:t xml:space="preserve">expanding or reducing their proposed service area and/or funding amount. </w:t>
      </w:r>
      <w:r w:rsidRPr="00BE3FA4">
        <w:t xml:space="preserve">TDLWD will </w:t>
      </w:r>
      <w:r>
        <w:t xml:space="preserve">schedule virtual or phone meetings to </w:t>
      </w:r>
      <w:r w:rsidRPr="00BE3FA4">
        <w:t xml:space="preserve">conduct negotiations with </w:t>
      </w:r>
      <w:r>
        <w:t xml:space="preserve">qualifying </w:t>
      </w:r>
      <w:r w:rsidRPr="00BE3FA4">
        <w:t>applicants toward the end of the competition period to adjust service areas and funding levels accordingly.</w:t>
      </w:r>
    </w:p>
    <w:p w14:paraId="5594B569" w14:textId="77777777" w:rsidR="00A772FB" w:rsidRDefault="00A772FB" w:rsidP="00A772FB">
      <w:pPr>
        <w:keepLines/>
      </w:pPr>
    </w:p>
    <w:p w14:paraId="450060F3" w14:textId="77777777" w:rsidR="00A772FB" w:rsidRDefault="00A772FB" w:rsidP="00A772FB">
      <w:pPr>
        <w:keepLines/>
      </w:pPr>
      <w:r>
        <w:t>When negotiations are complete, TDLWD will announce the grant awards.</w:t>
      </w:r>
    </w:p>
    <w:p w14:paraId="07A0F52F" w14:textId="77777777" w:rsidR="00AE14EA" w:rsidRDefault="00AE14EA" w:rsidP="00A772FB">
      <w:pPr>
        <w:keepLines/>
      </w:pPr>
    </w:p>
    <w:p w14:paraId="1DD6466C" w14:textId="00A32A8B" w:rsidR="00033BCA" w:rsidRDefault="00D30D9D" w:rsidP="00033BCA">
      <w:pPr>
        <w:pStyle w:val="Heading3"/>
      </w:pPr>
      <w:r>
        <w:t xml:space="preserve">Grant </w:t>
      </w:r>
      <w:r w:rsidR="00033BCA">
        <w:t>Contracts</w:t>
      </w:r>
    </w:p>
    <w:p w14:paraId="5C6F97C9" w14:textId="77777777" w:rsidR="001461E3" w:rsidRPr="001461E3" w:rsidRDefault="001461E3" w:rsidP="001461E3"/>
    <w:p w14:paraId="4389C388" w14:textId="3A1EEF28" w:rsidR="00CD002A" w:rsidRPr="00EE7081" w:rsidRDefault="00D30D9D" w:rsidP="00EA0734">
      <w:pPr>
        <w:keepLines/>
      </w:pPr>
      <w:r>
        <w:t xml:space="preserve">Funding will be allocated </w:t>
      </w:r>
      <w:r w:rsidR="00B927C4">
        <w:t xml:space="preserve">and obligated </w:t>
      </w:r>
      <w:r>
        <w:t>on an annual basis through grant contracts executed between TDLWD and each grant-holding agency (</w:t>
      </w:r>
      <w:r w:rsidR="00413843">
        <w:t>with a July 1 start date).</w:t>
      </w:r>
      <w:r>
        <w:t xml:space="preserve"> Grantees will receive funds through a monthly cost-reimbursement process</w:t>
      </w:r>
      <w:r w:rsidR="00C952D6">
        <w:t xml:space="preserve">. </w:t>
      </w:r>
      <w:r>
        <w:t>The exact funding allocations will</w:t>
      </w:r>
      <w:r w:rsidRPr="00EE7081">
        <w:t xml:space="preserve"> be </w:t>
      </w:r>
      <w:r>
        <w:t>determined</w:t>
      </w:r>
      <w:r w:rsidRPr="00EE7081">
        <w:t xml:space="preserve"> </w:t>
      </w:r>
      <w:r>
        <w:t>leading into</w:t>
      </w:r>
      <w:r w:rsidRPr="00EE7081">
        <w:t xml:space="preserve"> each</w:t>
      </w:r>
      <w:r>
        <w:t xml:space="preserve"> year’s</w:t>
      </w:r>
      <w:r w:rsidRPr="00EE7081">
        <w:t xml:space="preserve"> contract period</w:t>
      </w:r>
      <w:r>
        <w:t>;</w:t>
      </w:r>
      <w:r w:rsidR="007E7676">
        <w:t xml:space="preserve"> </w:t>
      </w:r>
      <w:r w:rsidR="00B84BC3">
        <w:t>each year’s funding is</w:t>
      </w:r>
      <w:r w:rsidR="007E7676" w:rsidRPr="007E7676">
        <w:t xml:space="preserve"> contingent on federal and state </w:t>
      </w:r>
      <w:r w:rsidR="00F02D44">
        <w:t xml:space="preserve">appropriations and </w:t>
      </w:r>
      <w:r w:rsidR="007E7676" w:rsidRPr="007E7676">
        <w:t>allocations</w:t>
      </w:r>
      <w:r w:rsidR="004147FC">
        <w:t>, but in general, grantees can expect to receive very near their base a</w:t>
      </w:r>
      <w:r w:rsidR="00B065F0">
        <w:t>mount each year.</w:t>
      </w:r>
    </w:p>
    <w:p w14:paraId="7C56A518" w14:textId="77777777" w:rsidR="006E0AC6" w:rsidRDefault="006E0AC6" w:rsidP="00DC11E7">
      <w:pPr>
        <w:keepLines/>
      </w:pPr>
    </w:p>
    <w:p w14:paraId="2B29DEA3" w14:textId="6AC77A11" w:rsidR="006E0AC6" w:rsidRDefault="006E0AC6" w:rsidP="006E0AC6">
      <w:pPr>
        <w:pStyle w:val="Heading3"/>
      </w:pPr>
      <w:r>
        <w:t xml:space="preserve">Onboarding and transitioning </w:t>
      </w:r>
      <w:r w:rsidR="004930FA">
        <w:t>Agencies</w:t>
      </w:r>
    </w:p>
    <w:p w14:paraId="004ED502" w14:textId="77777777" w:rsidR="006E0AC6" w:rsidRDefault="006E0AC6" w:rsidP="006E0AC6">
      <w:pPr>
        <w:rPr>
          <w:rFonts w:eastAsia="Calibri"/>
        </w:rPr>
      </w:pPr>
    </w:p>
    <w:p w14:paraId="6B4E4D45" w14:textId="5763E662" w:rsidR="006E0AC6" w:rsidRDefault="00BF71FE" w:rsidP="006E0AC6">
      <w:pPr>
        <w:keepLines/>
        <w:rPr>
          <w:rFonts w:eastAsiaTheme="minorHAnsi"/>
        </w:rPr>
      </w:pPr>
      <w:r>
        <w:rPr>
          <w:rFonts w:eastAsiaTheme="minorHAnsi"/>
        </w:rPr>
        <w:t xml:space="preserve">To </w:t>
      </w:r>
      <w:r w:rsidR="00A93055">
        <w:rPr>
          <w:rFonts w:eastAsiaTheme="minorHAnsi"/>
        </w:rPr>
        <w:t>help onboard</w:t>
      </w:r>
      <w:r>
        <w:rPr>
          <w:rFonts w:eastAsiaTheme="minorHAnsi"/>
        </w:rPr>
        <w:t xml:space="preserve"> </w:t>
      </w:r>
      <w:r w:rsidR="00432924">
        <w:rPr>
          <w:rFonts w:eastAsiaTheme="minorHAnsi"/>
        </w:rPr>
        <w:t xml:space="preserve">agencies new to the grant, </w:t>
      </w:r>
      <w:r w:rsidR="006E0AC6">
        <w:rPr>
          <w:rFonts w:eastAsiaTheme="minorHAnsi"/>
        </w:rPr>
        <w:t xml:space="preserve">TDLWD will consider providing “seed funding” to </w:t>
      </w:r>
      <w:r w:rsidR="00432924">
        <w:rPr>
          <w:rFonts w:eastAsiaTheme="minorHAnsi"/>
        </w:rPr>
        <w:t xml:space="preserve">new </w:t>
      </w:r>
      <w:r w:rsidR="006E0AC6">
        <w:rPr>
          <w:rFonts w:eastAsiaTheme="minorHAnsi"/>
        </w:rPr>
        <w:t>grantees (i.e.,</w:t>
      </w:r>
      <w:r w:rsidR="00503885">
        <w:rPr>
          <w:rFonts w:eastAsiaTheme="minorHAnsi"/>
        </w:rPr>
        <w:t xml:space="preserve"> </w:t>
      </w:r>
      <w:r w:rsidR="00ED3659">
        <w:rPr>
          <w:rFonts w:eastAsiaTheme="minorHAnsi"/>
        </w:rPr>
        <w:t>agencies who</w:t>
      </w:r>
      <w:r w:rsidR="006E0AC6">
        <w:rPr>
          <w:rFonts w:eastAsiaTheme="minorHAnsi"/>
        </w:rPr>
        <w:t xml:space="preserve"> </w:t>
      </w:r>
      <w:r w:rsidR="00503885">
        <w:rPr>
          <w:rFonts w:eastAsiaTheme="minorHAnsi"/>
        </w:rPr>
        <w:t>do</w:t>
      </w:r>
      <w:r w:rsidR="006E0AC6">
        <w:rPr>
          <w:rFonts w:eastAsiaTheme="minorHAnsi"/>
        </w:rPr>
        <w:t xml:space="preserve"> not ha</w:t>
      </w:r>
      <w:r w:rsidR="00503885">
        <w:rPr>
          <w:rFonts w:eastAsiaTheme="minorHAnsi"/>
        </w:rPr>
        <w:t>ve</w:t>
      </w:r>
      <w:r w:rsidR="006E0AC6">
        <w:rPr>
          <w:rFonts w:eastAsiaTheme="minorHAnsi"/>
        </w:rPr>
        <w:t xml:space="preserve"> the grant </w:t>
      </w:r>
      <w:r w:rsidR="00503885">
        <w:rPr>
          <w:rFonts w:eastAsiaTheme="minorHAnsi"/>
        </w:rPr>
        <w:t xml:space="preserve">in </w:t>
      </w:r>
      <w:r w:rsidR="006E0AC6">
        <w:rPr>
          <w:rFonts w:eastAsiaTheme="minorHAnsi"/>
        </w:rPr>
        <w:t xml:space="preserve">2022-23). This funding would be allocated prior to July 1 </w:t>
      </w:r>
      <w:proofErr w:type="gramStart"/>
      <w:r w:rsidR="006E0AC6">
        <w:rPr>
          <w:rFonts w:eastAsiaTheme="minorHAnsi"/>
        </w:rPr>
        <w:t>in order to</w:t>
      </w:r>
      <w:proofErr w:type="gramEnd"/>
      <w:r w:rsidR="006E0AC6">
        <w:rPr>
          <w:rFonts w:eastAsiaTheme="minorHAnsi"/>
        </w:rPr>
        <w:t xml:space="preserve"> allow agencies to start the process of</w:t>
      </w:r>
      <w:r w:rsidR="002D3F99">
        <w:rPr>
          <w:rFonts w:eastAsiaTheme="minorHAnsi"/>
        </w:rPr>
        <w:t xml:space="preserve"> hiring staff and</w:t>
      </w:r>
      <w:r w:rsidR="006E0AC6">
        <w:rPr>
          <w:rFonts w:eastAsiaTheme="minorHAnsi"/>
        </w:rPr>
        <w:t xml:space="preserve"> developing their program as soon as possible. The ability to provide seed funding will depend largely on whether an agency has contracted with TDLWD in the past and how quickly contracts can be processed. TDLWD will discuss this possibility with grantees soon after the awards are announced. TDLWD will also discuss a plan for onboarding the new agency, including various trainings, </w:t>
      </w:r>
      <w:r w:rsidR="00E86F27">
        <w:rPr>
          <w:rFonts w:eastAsiaTheme="minorHAnsi"/>
        </w:rPr>
        <w:t xml:space="preserve">available </w:t>
      </w:r>
      <w:r w:rsidR="006E0AC6">
        <w:rPr>
          <w:rFonts w:eastAsiaTheme="minorHAnsi"/>
        </w:rPr>
        <w:t>resources, and other supports that will be needed.</w:t>
      </w:r>
    </w:p>
    <w:p w14:paraId="68C44A2B" w14:textId="56106051" w:rsidR="006E0AC6" w:rsidRDefault="006E0AC6" w:rsidP="006E0AC6">
      <w:pPr>
        <w:keepLines/>
        <w:rPr>
          <w:rFonts w:eastAsiaTheme="minorHAnsi"/>
        </w:rPr>
      </w:pPr>
      <w:r>
        <w:rPr>
          <w:rFonts w:eastAsiaTheme="minorHAnsi"/>
        </w:rPr>
        <w:lastRenderedPageBreak/>
        <w:t xml:space="preserve">For agencies who currently have the grant (for 2022-23), TDLWD will facilitate transitioning equipment, supplies, </w:t>
      </w:r>
      <w:r w:rsidR="00626A63">
        <w:rPr>
          <w:rFonts w:eastAsiaTheme="minorHAnsi"/>
        </w:rPr>
        <w:t>a</w:t>
      </w:r>
      <w:r>
        <w:rPr>
          <w:rFonts w:eastAsiaTheme="minorHAnsi"/>
        </w:rPr>
        <w:t xml:space="preserve">nd other </w:t>
      </w:r>
      <w:r w:rsidR="00626A63">
        <w:rPr>
          <w:rFonts w:eastAsiaTheme="minorHAnsi"/>
        </w:rPr>
        <w:t>program</w:t>
      </w:r>
      <w:r>
        <w:rPr>
          <w:rFonts w:eastAsiaTheme="minorHAnsi"/>
        </w:rPr>
        <w:t xml:space="preserve"> components between agencies as necessary, depending on the new service areas and agencies involved.</w:t>
      </w:r>
    </w:p>
    <w:p w14:paraId="4AB509EE" w14:textId="77777777" w:rsidR="00034824" w:rsidRDefault="00034824" w:rsidP="00EA0734">
      <w:pPr>
        <w:keepLines/>
      </w:pPr>
    </w:p>
    <w:p w14:paraId="603FAC01" w14:textId="0818D2EA" w:rsidR="00764ACE" w:rsidRDefault="00764ACE" w:rsidP="00F71E24">
      <w:pPr>
        <w:pStyle w:val="Heading2"/>
      </w:pPr>
      <w:bookmarkStart w:id="5" w:name="_Toc128579608"/>
      <w:r>
        <w:t>Prospective Applicant</w:t>
      </w:r>
      <w:r w:rsidR="005B2F4A">
        <w:t>s</w:t>
      </w:r>
      <w:bookmarkEnd w:id="5"/>
    </w:p>
    <w:p w14:paraId="5E157496" w14:textId="77777777" w:rsidR="00BF4940" w:rsidRDefault="00BF4940" w:rsidP="00BF4940">
      <w:pPr>
        <w:pStyle w:val="Heading3"/>
        <w:keepLines/>
      </w:pPr>
    </w:p>
    <w:p w14:paraId="49834267" w14:textId="72B32814" w:rsidR="00BF4940" w:rsidRPr="00C77F39" w:rsidRDefault="00BF4940" w:rsidP="00BF4940">
      <w:pPr>
        <w:pStyle w:val="Heading3"/>
        <w:keepLines/>
      </w:pPr>
      <w:r>
        <w:t>Provider Eligibility</w:t>
      </w:r>
      <w:r w:rsidRPr="00ED7297">
        <w:rPr>
          <w:rStyle w:val="FootnoteReference"/>
          <w:b w:val="0"/>
          <w:bCs/>
          <w:sz w:val="24"/>
          <w:szCs w:val="20"/>
        </w:rPr>
        <w:footnoteReference w:id="6"/>
      </w:r>
    </w:p>
    <w:p w14:paraId="5F510122" w14:textId="77777777" w:rsidR="00BF4940" w:rsidRPr="00EE7081" w:rsidRDefault="00BF4940" w:rsidP="00BF4940">
      <w:pPr>
        <w:keepLines/>
      </w:pPr>
    </w:p>
    <w:p w14:paraId="41A55423" w14:textId="19D54733" w:rsidR="00BF4940" w:rsidRDefault="00BF4940" w:rsidP="00BF4940">
      <w:pPr>
        <w:pStyle w:val="CM88"/>
        <w:keepLines/>
        <w:widowControl/>
        <w:spacing w:after="120"/>
        <w:rPr>
          <w:rFonts w:ascii="Open Sans" w:hAnsi="Open Sans"/>
        </w:rPr>
      </w:pPr>
      <w:r w:rsidRPr="00EE7081">
        <w:rPr>
          <w:rFonts w:ascii="Open Sans" w:hAnsi="Open Sans"/>
        </w:rPr>
        <w:t>To apply for a grant, an applicant must be an “eligible provider”, and grants will be awarded to eligible providers on a competitive basis. The term “eligible provider” means an organization that has demonstrated effectiveness in providing adult education and literacy activities</w:t>
      </w:r>
      <w:r w:rsidR="002F0BE0">
        <w:rPr>
          <w:rFonts w:ascii="Open Sans" w:hAnsi="Open Sans"/>
        </w:rPr>
        <w:t>,</w:t>
      </w:r>
      <w:r w:rsidRPr="00EE7081">
        <w:rPr>
          <w:rFonts w:ascii="Open Sans" w:hAnsi="Open Sans"/>
        </w:rPr>
        <w:t xml:space="preserve"> that may include</w:t>
      </w:r>
      <w:r w:rsidR="002F0BE0">
        <w:rPr>
          <w:rFonts w:ascii="Open Sans" w:hAnsi="Open Sans"/>
        </w:rPr>
        <w:t>, but is not limited to</w:t>
      </w:r>
      <w:r>
        <w:rPr>
          <w:rFonts w:ascii="Open Sans" w:hAnsi="Open Sans"/>
        </w:rPr>
        <w:t>:</w:t>
      </w:r>
    </w:p>
    <w:p w14:paraId="7E9993EF" w14:textId="77777777" w:rsidR="00BF4940" w:rsidRDefault="00BF4940" w:rsidP="00D90CF9">
      <w:pPr>
        <w:pStyle w:val="CM88"/>
        <w:keepLines/>
        <w:widowControl/>
        <w:numPr>
          <w:ilvl w:val="0"/>
          <w:numId w:val="20"/>
        </w:numPr>
        <w:spacing w:after="120"/>
        <w:rPr>
          <w:rFonts w:ascii="Open Sans" w:hAnsi="Open Sans"/>
        </w:rPr>
      </w:pPr>
      <w:r>
        <w:rPr>
          <w:rFonts w:ascii="Open Sans" w:hAnsi="Open Sans"/>
        </w:rPr>
        <w:t>A</w:t>
      </w:r>
      <w:r w:rsidRPr="00EE7081">
        <w:rPr>
          <w:rFonts w:ascii="Open Sans" w:hAnsi="Open Sans"/>
        </w:rPr>
        <w:t xml:space="preserve"> local educational agency; </w:t>
      </w:r>
    </w:p>
    <w:p w14:paraId="64CD3421" w14:textId="77777777" w:rsidR="00BF4940" w:rsidRDefault="00BF4940" w:rsidP="00D90CF9">
      <w:pPr>
        <w:pStyle w:val="CM88"/>
        <w:keepLines/>
        <w:widowControl/>
        <w:numPr>
          <w:ilvl w:val="0"/>
          <w:numId w:val="20"/>
        </w:numPr>
        <w:spacing w:after="120"/>
        <w:rPr>
          <w:rFonts w:ascii="Open Sans" w:hAnsi="Open Sans"/>
        </w:rPr>
      </w:pPr>
      <w:r>
        <w:rPr>
          <w:rFonts w:ascii="Open Sans" w:hAnsi="Open Sans"/>
        </w:rPr>
        <w:t>A</w:t>
      </w:r>
      <w:r w:rsidRPr="005E31A0">
        <w:rPr>
          <w:rFonts w:ascii="Open Sans" w:hAnsi="Open Sans"/>
        </w:rPr>
        <w:t xml:space="preserve"> community-based organization or faith-based organization; </w:t>
      </w:r>
    </w:p>
    <w:p w14:paraId="2F55BD04" w14:textId="77777777" w:rsidR="00BF4940" w:rsidRDefault="00BF4940" w:rsidP="00D90CF9">
      <w:pPr>
        <w:pStyle w:val="CM88"/>
        <w:keepLines/>
        <w:widowControl/>
        <w:numPr>
          <w:ilvl w:val="0"/>
          <w:numId w:val="20"/>
        </w:numPr>
        <w:spacing w:after="120"/>
        <w:rPr>
          <w:rFonts w:ascii="Open Sans" w:hAnsi="Open Sans"/>
        </w:rPr>
      </w:pPr>
      <w:r>
        <w:rPr>
          <w:rFonts w:ascii="Open Sans" w:hAnsi="Open Sans"/>
        </w:rPr>
        <w:t>A</w:t>
      </w:r>
      <w:r w:rsidRPr="005E31A0">
        <w:rPr>
          <w:rFonts w:ascii="Open Sans" w:hAnsi="Open Sans"/>
        </w:rPr>
        <w:t xml:space="preserve"> volunteer literacy organization; </w:t>
      </w:r>
    </w:p>
    <w:p w14:paraId="074112EE" w14:textId="77777777" w:rsidR="00BF4940" w:rsidRDefault="00BF4940" w:rsidP="00D90CF9">
      <w:pPr>
        <w:pStyle w:val="CM88"/>
        <w:keepLines/>
        <w:widowControl/>
        <w:numPr>
          <w:ilvl w:val="0"/>
          <w:numId w:val="20"/>
        </w:numPr>
        <w:spacing w:after="120"/>
        <w:rPr>
          <w:rFonts w:ascii="Open Sans" w:hAnsi="Open Sans"/>
        </w:rPr>
      </w:pPr>
      <w:r>
        <w:rPr>
          <w:rFonts w:ascii="Open Sans" w:hAnsi="Open Sans"/>
        </w:rPr>
        <w:t>A</w:t>
      </w:r>
      <w:r w:rsidRPr="005E31A0">
        <w:rPr>
          <w:rFonts w:ascii="Open Sans" w:hAnsi="Open Sans"/>
        </w:rPr>
        <w:t xml:space="preserve">n institution of higher education; </w:t>
      </w:r>
    </w:p>
    <w:p w14:paraId="667FEB15" w14:textId="77777777" w:rsidR="00BF4940" w:rsidRDefault="00BF4940" w:rsidP="00D90CF9">
      <w:pPr>
        <w:pStyle w:val="CM88"/>
        <w:keepLines/>
        <w:widowControl/>
        <w:numPr>
          <w:ilvl w:val="0"/>
          <w:numId w:val="20"/>
        </w:numPr>
        <w:spacing w:after="120"/>
        <w:rPr>
          <w:rFonts w:ascii="Open Sans" w:hAnsi="Open Sans"/>
        </w:rPr>
      </w:pPr>
      <w:r>
        <w:rPr>
          <w:rFonts w:ascii="Open Sans" w:hAnsi="Open Sans"/>
        </w:rPr>
        <w:t>A</w:t>
      </w:r>
      <w:r w:rsidRPr="005E31A0">
        <w:rPr>
          <w:rFonts w:ascii="Open Sans" w:hAnsi="Open Sans"/>
        </w:rPr>
        <w:t xml:space="preserve"> public or private nonprofit agency; </w:t>
      </w:r>
    </w:p>
    <w:p w14:paraId="546A6E6D" w14:textId="77777777" w:rsidR="00BF4940" w:rsidRDefault="00BF4940" w:rsidP="00D90CF9">
      <w:pPr>
        <w:pStyle w:val="CM88"/>
        <w:keepLines/>
        <w:widowControl/>
        <w:numPr>
          <w:ilvl w:val="0"/>
          <w:numId w:val="20"/>
        </w:numPr>
        <w:spacing w:after="120"/>
        <w:rPr>
          <w:rFonts w:ascii="Open Sans" w:hAnsi="Open Sans"/>
        </w:rPr>
      </w:pPr>
      <w:r>
        <w:rPr>
          <w:rFonts w:ascii="Open Sans" w:hAnsi="Open Sans"/>
        </w:rPr>
        <w:t>A</w:t>
      </w:r>
      <w:r w:rsidRPr="005E31A0">
        <w:rPr>
          <w:rFonts w:ascii="Open Sans" w:hAnsi="Open Sans"/>
        </w:rPr>
        <w:t xml:space="preserve"> library; </w:t>
      </w:r>
    </w:p>
    <w:p w14:paraId="121B37B9" w14:textId="77777777" w:rsidR="00BF4940" w:rsidRDefault="00BF4940" w:rsidP="00D90CF9">
      <w:pPr>
        <w:pStyle w:val="CM88"/>
        <w:keepLines/>
        <w:widowControl/>
        <w:numPr>
          <w:ilvl w:val="0"/>
          <w:numId w:val="20"/>
        </w:numPr>
        <w:spacing w:after="120"/>
        <w:rPr>
          <w:rFonts w:ascii="Open Sans" w:hAnsi="Open Sans"/>
        </w:rPr>
      </w:pPr>
      <w:r>
        <w:rPr>
          <w:rFonts w:ascii="Open Sans" w:hAnsi="Open Sans"/>
        </w:rPr>
        <w:t>A</w:t>
      </w:r>
      <w:r w:rsidRPr="005E31A0">
        <w:rPr>
          <w:rFonts w:ascii="Open Sans" w:hAnsi="Open Sans"/>
        </w:rPr>
        <w:t xml:space="preserve"> public housing authority; </w:t>
      </w:r>
    </w:p>
    <w:p w14:paraId="39356BCE" w14:textId="77777777" w:rsidR="00BF4940" w:rsidRDefault="00BF4940" w:rsidP="00D90CF9">
      <w:pPr>
        <w:pStyle w:val="CM88"/>
        <w:keepLines/>
        <w:widowControl/>
        <w:numPr>
          <w:ilvl w:val="0"/>
          <w:numId w:val="20"/>
        </w:numPr>
        <w:spacing w:after="120"/>
        <w:rPr>
          <w:rFonts w:ascii="Open Sans" w:hAnsi="Open Sans"/>
        </w:rPr>
      </w:pPr>
      <w:r>
        <w:rPr>
          <w:rFonts w:ascii="Open Sans" w:hAnsi="Open Sans"/>
        </w:rPr>
        <w:t>A</w:t>
      </w:r>
      <w:r w:rsidRPr="005E31A0">
        <w:rPr>
          <w:rFonts w:ascii="Open Sans" w:hAnsi="Open Sans"/>
        </w:rPr>
        <w:t xml:space="preserve"> nonprofit institution that is not described in any of subparagraphs (A) through (G) and </w:t>
      </w:r>
      <w:proofErr w:type="gramStart"/>
      <w:r w:rsidRPr="005E31A0">
        <w:rPr>
          <w:rFonts w:ascii="Open Sans" w:hAnsi="Open Sans"/>
        </w:rPr>
        <w:t>has the ability to</w:t>
      </w:r>
      <w:proofErr w:type="gramEnd"/>
      <w:r w:rsidRPr="005E31A0">
        <w:rPr>
          <w:rFonts w:ascii="Open Sans" w:hAnsi="Open Sans"/>
        </w:rPr>
        <w:t xml:space="preserve"> provide adult education and literacy activities to eligible individuals; </w:t>
      </w:r>
    </w:p>
    <w:p w14:paraId="51758F22" w14:textId="2402A758" w:rsidR="00BF4940" w:rsidRDefault="00BF4940" w:rsidP="00D90CF9">
      <w:pPr>
        <w:pStyle w:val="CM88"/>
        <w:keepLines/>
        <w:widowControl/>
        <w:numPr>
          <w:ilvl w:val="0"/>
          <w:numId w:val="20"/>
        </w:numPr>
        <w:spacing w:after="120"/>
        <w:rPr>
          <w:rFonts w:ascii="Open Sans" w:hAnsi="Open Sans"/>
        </w:rPr>
      </w:pPr>
      <w:r>
        <w:rPr>
          <w:rFonts w:ascii="Open Sans" w:hAnsi="Open Sans"/>
        </w:rPr>
        <w:t>A</w:t>
      </w:r>
      <w:r w:rsidRPr="005E31A0">
        <w:rPr>
          <w:rFonts w:ascii="Open Sans" w:hAnsi="Open Sans"/>
        </w:rPr>
        <w:t xml:space="preserve"> consortium or coalition of the agencies, organizations, institutions, libraries, or authorities described in any of subparagraphs (A) through (H); and </w:t>
      </w:r>
    </w:p>
    <w:p w14:paraId="2600E844" w14:textId="77777777" w:rsidR="00BF4940" w:rsidRDefault="00BF4940" w:rsidP="00D90CF9">
      <w:pPr>
        <w:pStyle w:val="CM88"/>
        <w:keepLines/>
        <w:widowControl/>
        <w:numPr>
          <w:ilvl w:val="0"/>
          <w:numId w:val="20"/>
        </w:numPr>
        <w:contextualSpacing/>
        <w:rPr>
          <w:rFonts w:ascii="Open Sans" w:hAnsi="Open Sans"/>
        </w:rPr>
      </w:pPr>
      <w:r>
        <w:rPr>
          <w:rFonts w:ascii="Open Sans" w:hAnsi="Open Sans"/>
        </w:rPr>
        <w:t>A</w:t>
      </w:r>
      <w:r w:rsidRPr="005E31A0">
        <w:rPr>
          <w:rFonts w:ascii="Open Sans" w:hAnsi="Open Sans"/>
        </w:rPr>
        <w:t xml:space="preserve"> partnership between an employer and an entity described in any of subparagraphs (</w:t>
      </w:r>
      <w:r>
        <w:rPr>
          <w:rFonts w:ascii="Open Sans" w:hAnsi="Open Sans"/>
        </w:rPr>
        <w:t>a</w:t>
      </w:r>
      <w:r w:rsidRPr="005E31A0">
        <w:rPr>
          <w:rFonts w:ascii="Open Sans" w:hAnsi="Open Sans"/>
        </w:rPr>
        <w:t>) through (</w:t>
      </w:r>
      <w:proofErr w:type="spellStart"/>
      <w:r>
        <w:rPr>
          <w:rFonts w:ascii="Open Sans" w:hAnsi="Open Sans"/>
        </w:rPr>
        <w:t>i</w:t>
      </w:r>
      <w:proofErr w:type="spellEnd"/>
      <w:r w:rsidRPr="005E31A0">
        <w:rPr>
          <w:rFonts w:ascii="Open Sans" w:hAnsi="Open Sans"/>
        </w:rPr>
        <w:t>).</w:t>
      </w:r>
    </w:p>
    <w:p w14:paraId="1F28434C" w14:textId="77777777" w:rsidR="00CF00DD" w:rsidRPr="00CF00DD" w:rsidRDefault="00CF00DD" w:rsidP="00CF00DD"/>
    <w:p w14:paraId="11382E01" w14:textId="63414811" w:rsidR="00A002C0" w:rsidRPr="00A002C0" w:rsidRDefault="000E468F" w:rsidP="00A002C0">
      <w:r>
        <w:rPr>
          <w:b/>
        </w:rPr>
        <w:t>Ap</w:t>
      </w:r>
      <w:r w:rsidR="002F5E63">
        <w:rPr>
          <w:b/>
        </w:rPr>
        <w:t xml:space="preserve">plicants must </w:t>
      </w:r>
      <w:r w:rsidR="00AF39AD">
        <w:rPr>
          <w:b/>
        </w:rPr>
        <w:t>provide evidence of “demonstrated effectiveness”</w:t>
      </w:r>
      <w:r w:rsidR="006A174B">
        <w:rPr>
          <w:b/>
        </w:rPr>
        <w:t xml:space="preserve"> </w:t>
      </w:r>
      <w:r w:rsidR="005525B9">
        <w:rPr>
          <w:b/>
        </w:rPr>
        <w:t xml:space="preserve">– see </w:t>
      </w:r>
      <w:r w:rsidR="006A174B">
        <w:rPr>
          <w:b/>
        </w:rPr>
        <w:t xml:space="preserve">Appendix </w:t>
      </w:r>
      <w:r w:rsidR="00E92673">
        <w:rPr>
          <w:b/>
        </w:rPr>
        <w:t xml:space="preserve">A </w:t>
      </w:r>
      <w:r w:rsidR="006A174B">
        <w:rPr>
          <w:b/>
        </w:rPr>
        <w:t>for details</w:t>
      </w:r>
      <w:r w:rsidR="00D32006">
        <w:rPr>
          <w:b/>
        </w:rPr>
        <w:t xml:space="preserve"> and requirements</w:t>
      </w:r>
      <w:r w:rsidR="00AF39AD">
        <w:rPr>
          <w:b/>
        </w:rPr>
        <w:t xml:space="preserve">. </w:t>
      </w:r>
      <w:r w:rsidR="00A002C0">
        <w:rPr>
          <w:b/>
        </w:rPr>
        <w:t xml:space="preserve">Failure to </w:t>
      </w:r>
      <w:r w:rsidR="00241644">
        <w:rPr>
          <w:b/>
        </w:rPr>
        <w:t>s</w:t>
      </w:r>
      <w:r w:rsidR="00A002C0">
        <w:rPr>
          <w:b/>
        </w:rPr>
        <w:t>ubmit “</w:t>
      </w:r>
      <w:r w:rsidR="00241644">
        <w:rPr>
          <w:b/>
        </w:rPr>
        <w:t>demonstrated effectiveness” data</w:t>
      </w:r>
      <w:r w:rsidR="00E95433">
        <w:rPr>
          <w:b/>
        </w:rPr>
        <w:t xml:space="preserve"> </w:t>
      </w:r>
      <w:r w:rsidR="00A002C0">
        <w:rPr>
          <w:b/>
        </w:rPr>
        <w:t xml:space="preserve">will result in the applicant being </w:t>
      </w:r>
      <w:r w:rsidR="00A002C0" w:rsidRPr="00EE7081">
        <w:rPr>
          <w:b/>
        </w:rPr>
        <w:t>disqualified.</w:t>
      </w:r>
    </w:p>
    <w:p w14:paraId="3BCBC0C1" w14:textId="77777777" w:rsidR="00A002C0" w:rsidRPr="00A002C0" w:rsidRDefault="00A002C0" w:rsidP="00A002C0"/>
    <w:p w14:paraId="17163AA3" w14:textId="700A44CC" w:rsidR="00BC7801" w:rsidRDefault="00BC7801" w:rsidP="00BC7801">
      <w:pPr>
        <w:pStyle w:val="Heading3"/>
        <w:keepLines/>
      </w:pPr>
      <w:r>
        <w:t>How to Apply</w:t>
      </w:r>
    </w:p>
    <w:p w14:paraId="0581A807" w14:textId="77777777" w:rsidR="00BC7801" w:rsidRDefault="00BC7801" w:rsidP="00EA0734">
      <w:pPr>
        <w:keepLines/>
      </w:pPr>
    </w:p>
    <w:p w14:paraId="22A929EC" w14:textId="18F7BC2C" w:rsidR="00027AB7" w:rsidRDefault="00027AB7" w:rsidP="00EA0734">
      <w:pPr>
        <w:keepLines/>
      </w:pPr>
      <w:r>
        <w:t xml:space="preserve">Grant applications must be </w:t>
      </w:r>
      <w:r w:rsidR="00DF7E05">
        <w:t xml:space="preserve">written and </w:t>
      </w:r>
      <w:r>
        <w:t>submitted following the instructions found</w:t>
      </w:r>
      <w:r w:rsidR="00440D2A">
        <w:t xml:space="preserve"> in </w:t>
      </w:r>
      <w:r w:rsidR="00DF222D">
        <w:t>Section 8</w:t>
      </w:r>
      <w:r w:rsidR="00EE3DB3">
        <w:t xml:space="preserve"> – Grant </w:t>
      </w:r>
      <w:r w:rsidR="00DF222D">
        <w:t>Application Guide</w:t>
      </w:r>
      <w:r w:rsidR="00C54FAE">
        <w:t>.</w:t>
      </w:r>
    </w:p>
    <w:p w14:paraId="2C474CB8" w14:textId="0290CB2C" w:rsidR="00764ACE" w:rsidRDefault="00764ACE" w:rsidP="00EA0734">
      <w:pPr>
        <w:pStyle w:val="Heading3"/>
        <w:keepLines/>
      </w:pPr>
      <w:bookmarkStart w:id="6" w:name="_Toc30575330"/>
    </w:p>
    <w:p w14:paraId="7DFE8817" w14:textId="111D4E08" w:rsidR="004F0E0A" w:rsidRPr="00400416" w:rsidRDefault="004F0E0A" w:rsidP="00EA0734">
      <w:pPr>
        <w:pStyle w:val="Heading3"/>
        <w:keepLines/>
      </w:pPr>
      <w:r w:rsidRPr="00400416">
        <w:lastRenderedPageBreak/>
        <w:t>Question-and-Answer</w:t>
      </w:r>
      <w:bookmarkEnd w:id="6"/>
    </w:p>
    <w:p w14:paraId="06963D67" w14:textId="77777777" w:rsidR="00EA0734" w:rsidRPr="00400416" w:rsidRDefault="00EA0734" w:rsidP="00EA0734"/>
    <w:p w14:paraId="24CF90B0" w14:textId="739DA9E0" w:rsidR="00CD002A" w:rsidRPr="00FF564B" w:rsidRDefault="004F0E0A" w:rsidP="00EA0734">
      <w:pPr>
        <w:keepLines/>
        <w:contextualSpacing/>
        <w:rPr>
          <w:bCs/>
        </w:rPr>
      </w:pPr>
      <w:r w:rsidRPr="00400416">
        <w:t xml:space="preserve">A question-and-answer form for </w:t>
      </w:r>
      <w:r w:rsidR="00FE336B" w:rsidRPr="00400416">
        <w:t xml:space="preserve">prospective applicants </w:t>
      </w:r>
      <w:r w:rsidR="008E1BD0" w:rsidRPr="00400416">
        <w:t xml:space="preserve">can be found on the TDLWD </w:t>
      </w:r>
      <w:r w:rsidR="00400416" w:rsidRPr="00400416">
        <w:t>Adult Education RFA website</w:t>
      </w:r>
      <w:r w:rsidR="004F592A">
        <w:t xml:space="preserve"> (</w:t>
      </w:r>
      <w:hyperlink r:id="rId20" w:history="1">
        <w:r w:rsidR="004F592A" w:rsidRPr="00C76D5D">
          <w:rPr>
            <w:rStyle w:val="Hyperlink"/>
            <w:b/>
            <w:bCs/>
          </w:rPr>
          <w:t>click here for link</w:t>
        </w:r>
      </w:hyperlink>
      <w:r w:rsidR="004F592A">
        <w:t xml:space="preserve">). </w:t>
      </w:r>
      <w:r w:rsidRPr="00FF564B">
        <w:t xml:space="preserve">This form will be live and able to receive questions </w:t>
      </w:r>
      <w:r w:rsidR="00371C96" w:rsidRPr="00FF564B">
        <w:t>March 1</w:t>
      </w:r>
      <w:r w:rsidR="00083B2E" w:rsidRPr="00FF564B">
        <w:t>–</w:t>
      </w:r>
      <w:r w:rsidR="00C86A27">
        <w:t>24</w:t>
      </w:r>
      <w:r w:rsidR="00083B2E" w:rsidRPr="00FF564B">
        <w:t>, 202</w:t>
      </w:r>
      <w:r w:rsidR="00B3613E" w:rsidRPr="00FF564B">
        <w:t>3</w:t>
      </w:r>
      <w:r w:rsidR="00083B2E" w:rsidRPr="00FF564B">
        <w:t>.</w:t>
      </w:r>
      <w:r w:rsidRPr="00FF564B">
        <w:rPr>
          <w:b/>
        </w:rPr>
        <w:t xml:space="preserve"> </w:t>
      </w:r>
      <w:r w:rsidR="003A734F" w:rsidRPr="00FF564B">
        <w:rPr>
          <w:bCs/>
        </w:rPr>
        <w:t xml:space="preserve">TDLWD </w:t>
      </w:r>
      <w:r w:rsidR="00A0504C" w:rsidRPr="00FF564B">
        <w:rPr>
          <w:bCs/>
        </w:rPr>
        <w:t xml:space="preserve">will post answers at minimum </w:t>
      </w:r>
      <w:r w:rsidR="00F779BB">
        <w:rPr>
          <w:bCs/>
        </w:rPr>
        <w:t>once</w:t>
      </w:r>
      <w:r w:rsidR="00A0504C" w:rsidRPr="00FF564B">
        <w:rPr>
          <w:bCs/>
        </w:rPr>
        <w:t xml:space="preserve"> per week during the Q&amp;A period.</w:t>
      </w:r>
      <w:r w:rsidR="00C86A27">
        <w:rPr>
          <w:bCs/>
        </w:rPr>
        <w:t xml:space="preserve"> Final answers will be posted by</w:t>
      </w:r>
      <w:r w:rsidR="0068141B">
        <w:rPr>
          <w:bCs/>
        </w:rPr>
        <w:t xml:space="preserve"> March 28</w:t>
      </w:r>
      <w:r w:rsidR="00FB74C6">
        <w:rPr>
          <w:bCs/>
        </w:rPr>
        <w:t>, 2023</w:t>
      </w:r>
      <w:r w:rsidR="0068141B">
        <w:rPr>
          <w:bCs/>
        </w:rPr>
        <w:t>.</w:t>
      </w:r>
    </w:p>
    <w:p w14:paraId="53D96453" w14:textId="77777777" w:rsidR="008B3B96" w:rsidRPr="00D50799" w:rsidRDefault="008B3B96" w:rsidP="00CD002A">
      <w:pPr>
        <w:rPr>
          <w:bCs/>
          <w:highlight w:val="yellow"/>
        </w:rPr>
      </w:pPr>
    </w:p>
    <w:p w14:paraId="2828A381" w14:textId="39FF2F44" w:rsidR="008B3B96" w:rsidRPr="00FF564B" w:rsidRDefault="008F0A6F" w:rsidP="008F0A6F">
      <w:pPr>
        <w:pStyle w:val="Heading3"/>
        <w:keepLines/>
      </w:pPr>
      <w:r w:rsidRPr="00FF564B">
        <w:t>Information session</w:t>
      </w:r>
    </w:p>
    <w:p w14:paraId="5AC994AC" w14:textId="77777777" w:rsidR="008F0A6F" w:rsidRPr="00FF564B" w:rsidRDefault="008F0A6F" w:rsidP="008F0A6F"/>
    <w:p w14:paraId="25FCCF79" w14:textId="768F8A24" w:rsidR="00657933" w:rsidRPr="00FF564B" w:rsidRDefault="000A2E4A" w:rsidP="008B3B96">
      <w:pPr>
        <w:keepLines/>
        <w:contextualSpacing/>
      </w:pPr>
      <w:r w:rsidRPr="00FF564B">
        <w:t xml:space="preserve">On </w:t>
      </w:r>
      <w:r w:rsidR="00E85BED" w:rsidRPr="00FF564B">
        <w:t>March</w:t>
      </w:r>
      <w:r w:rsidRPr="00FF564B">
        <w:t xml:space="preserve"> </w:t>
      </w:r>
      <w:r w:rsidR="004105A5">
        <w:t>2</w:t>
      </w:r>
      <w:r w:rsidR="00CF4E50">
        <w:t>1</w:t>
      </w:r>
      <w:r w:rsidRPr="00FF564B">
        <w:t xml:space="preserve">, 2023, </w:t>
      </w:r>
      <w:r w:rsidR="007941A6">
        <w:t>9</w:t>
      </w:r>
      <w:r w:rsidR="00B21731" w:rsidRPr="00FF564B">
        <w:t xml:space="preserve">:00am Central, </w:t>
      </w:r>
      <w:r w:rsidRPr="00FF564B">
        <w:t xml:space="preserve">TDLWD will </w:t>
      </w:r>
      <w:r w:rsidR="00C939D9" w:rsidRPr="00FF564B">
        <w:t>hold a</w:t>
      </w:r>
      <w:r w:rsidR="007B3369" w:rsidRPr="00FF564B">
        <w:t xml:space="preserve"> virtual</w:t>
      </w:r>
      <w:r w:rsidR="004809F7" w:rsidRPr="00FF564B">
        <w:t xml:space="preserve"> </w:t>
      </w:r>
      <w:r w:rsidR="007B3369" w:rsidRPr="00FF564B">
        <w:t>information session</w:t>
      </w:r>
      <w:r w:rsidR="00C939D9" w:rsidRPr="00FF564B">
        <w:t xml:space="preserve"> to </w:t>
      </w:r>
      <w:r w:rsidR="004809F7" w:rsidRPr="00FF564B">
        <w:t>discuss the RF</w:t>
      </w:r>
      <w:r w:rsidR="00B86D17" w:rsidRPr="00FF564B">
        <w:t>A</w:t>
      </w:r>
      <w:r w:rsidR="004809F7" w:rsidRPr="00FF564B">
        <w:t xml:space="preserve"> and grant with </w:t>
      </w:r>
      <w:r w:rsidR="00C939D9" w:rsidRPr="00FF564B">
        <w:t>prospective applicants.</w:t>
      </w:r>
      <w:r w:rsidR="00122CFF" w:rsidRPr="00FF564B">
        <w:t xml:space="preserve"> Prospective applicants may use this time to ask clarifying questions and </w:t>
      </w:r>
      <w:r w:rsidR="00756F91" w:rsidRPr="00FF564B">
        <w:t xml:space="preserve">seek more information about TDLWD’s expectations for applications or </w:t>
      </w:r>
      <w:r w:rsidR="009A7E56" w:rsidRPr="00FF564B">
        <w:t>the grant in general.</w:t>
      </w:r>
      <w:r w:rsidR="00657933" w:rsidRPr="00FF564B">
        <w:t xml:space="preserve"> </w:t>
      </w:r>
    </w:p>
    <w:p w14:paraId="746B2309" w14:textId="77777777" w:rsidR="00657933" w:rsidRPr="00FF564B" w:rsidRDefault="00657933" w:rsidP="008B3B96">
      <w:pPr>
        <w:keepLines/>
        <w:contextualSpacing/>
      </w:pPr>
    </w:p>
    <w:p w14:paraId="3A1547F5" w14:textId="664E95BE" w:rsidR="008B3B96" w:rsidRPr="00FF564B" w:rsidRDefault="00657933" w:rsidP="008B3B96">
      <w:pPr>
        <w:keepLines/>
        <w:contextualSpacing/>
      </w:pPr>
      <w:r w:rsidRPr="00FF564B">
        <w:t xml:space="preserve">The </w:t>
      </w:r>
      <w:r w:rsidR="005B3879" w:rsidRPr="00FF564B">
        <w:t>session</w:t>
      </w:r>
      <w:r w:rsidRPr="00FF564B">
        <w:t xml:space="preserve"> will be via</w:t>
      </w:r>
      <w:r w:rsidR="00CE53AB" w:rsidRPr="00FF564B">
        <w:t xml:space="preserve"> a</w:t>
      </w:r>
      <w:r w:rsidRPr="00FF564B">
        <w:t xml:space="preserve"> Microsoft Teams </w:t>
      </w:r>
      <w:r w:rsidR="00BD0BDB" w:rsidRPr="00FF564B">
        <w:t xml:space="preserve">meeting </w:t>
      </w:r>
      <w:r w:rsidRPr="00FF564B">
        <w:t>or call-in via phone, as outlined below:</w:t>
      </w:r>
    </w:p>
    <w:p w14:paraId="16E15EA1" w14:textId="5EF803A1" w:rsidR="009A7E56" w:rsidRPr="00FF564B" w:rsidRDefault="009A7E56" w:rsidP="008B3B96">
      <w:pPr>
        <w:keepLines/>
        <w:contextualSpacing/>
      </w:pPr>
    </w:p>
    <w:p w14:paraId="71227051" w14:textId="2C1B108B" w:rsidR="00AD3B05" w:rsidRPr="00072BC7" w:rsidRDefault="00AD3B05" w:rsidP="00AD3B05">
      <w:pPr>
        <w:rPr>
          <w:b/>
          <w:bCs/>
          <w:color w:val="252424"/>
        </w:rPr>
      </w:pPr>
      <w:r w:rsidRPr="00072BC7">
        <w:rPr>
          <w:b/>
          <w:bCs/>
          <w:color w:val="252424"/>
        </w:rPr>
        <w:t>Join on your computer</w:t>
      </w:r>
      <w:r w:rsidR="00657933" w:rsidRPr="00072BC7">
        <w:rPr>
          <w:b/>
          <w:bCs/>
          <w:color w:val="252424"/>
        </w:rPr>
        <w:t xml:space="preserve"> or</w:t>
      </w:r>
      <w:r w:rsidRPr="00072BC7">
        <w:rPr>
          <w:b/>
          <w:bCs/>
          <w:color w:val="252424"/>
        </w:rPr>
        <w:t xml:space="preserve"> mobile app </w:t>
      </w:r>
    </w:p>
    <w:p w14:paraId="1A20A471" w14:textId="77777777" w:rsidR="007C6B87" w:rsidRPr="00072BC7" w:rsidRDefault="00000000" w:rsidP="007C6B87">
      <w:pPr>
        <w:rPr>
          <w:b/>
          <w:bCs/>
          <w:color w:val="252424"/>
        </w:rPr>
      </w:pPr>
      <w:hyperlink r:id="rId21" w:tgtFrame="_blank" w:history="1">
        <w:r w:rsidR="007C6B87" w:rsidRPr="00072BC7">
          <w:rPr>
            <w:rStyle w:val="Hyperlink"/>
            <w:b/>
            <w:bCs/>
            <w:color w:val="6264A7"/>
          </w:rPr>
          <w:t>Click here to join the meeting</w:t>
        </w:r>
      </w:hyperlink>
      <w:r w:rsidR="007C6B87" w:rsidRPr="00072BC7">
        <w:rPr>
          <w:b/>
          <w:bCs/>
          <w:color w:val="252424"/>
        </w:rPr>
        <w:t xml:space="preserve"> </w:t>
      </w:r>
    </w:p>
    <w:p w14:paraId="0FDA3F7F" w14:textId="77777777" w:rsidR="00072BC7" w:rsidRPr="00072BC7" w:rsidRDefault="00072BC7" w:rsidP="007C6B87">
      <w:pPr>
        <w:rPr>
          <w:color w:val="252424"/>
        </w:rPr>
      </w:pPr>
    </w:p>
    <w:p w14:paraId="6C16416B" w14:textId="77777777" w:rsidR="00965FA5" w:rsidRPr="00072BC7" w:rsidRDefault="00965FA5" w:rsidP="00965FA5">
      <w:pPr>
        <w:rPr>
          <w:color w:val="252424"/>
        </w:rPr>
      </w:pPr>
      <w:r w:rsidRPr="00072BC7">
        <w:rPr>
          <w:color w:val="252424"/>
        </w:rPr>
        <w:t xml:space="preserve">Meeting ID: 245 501 960 442 </w:t>
      </w:r>
      <w:r w:rsidRPr="00072BC7">
        <w:rPr>
          <w:color w:val="252424"/>
        </w:rPr>
        <w:br/>
        <w:t xml:space="preserve">Passcode: Wg6L3f </w:t>
      </w:r>
    </w:p>
    <w:p w14:paraId="2CD8A254" w14:textId="77777777" w:rsidR="00965FA5" w:rsidRDefault="00000000" w:rsidP="00965FA5">
      <w:pPr>
        <w:rPr>
          <w:rStyle w:val="Hyperlink"/>
          <w:color w:val="6264A7"/>
        </w:rPr>
      </w:pPr>
      <w:hyperlink r:id="rId22" w:tgtFrame="_blank" w:history="1">
        <w:r w:rsidR="00965FA5" w:rsidRPr="00072BC7">
          <w:rPr>
            <w:rStyle w:val="Hyperlink"/>
            <w:color w:val="6264A7"/>
          </w:rPr>
          <w:t>Download Teams</w:t>
        </w:r>
      </w:hyperlink>
      <w:r w:rsidR="00965FA5" w:rsidRPr="00072BC7">
        <w:rPr>
          <w:color w:val="252424"/>
        </w:rPr>
        <w:t xml:space="preserve"> | </w:t>
      </w:r>
      <w:hyperlink r:id="rId23" w:tgtFrame="_blank" w:history="1">
        <w:r w:rsidR="00965FA5" w:rsidRPr="00072BC7">
          <w:rPr>
            <w:rStyle w:val="Hyperlink"/>
            <w:color w:val="6264A7"/>
          </w:rPr>
          <w:t>Join on the web</w:t>
        </w:r>
      </w:hyperlink>
    </w:p>
    <w:p w14:paraId="3E6E7BD4" w14:textId="77777777" w:rsidR="00B91A35" w:rsidRPr="00072BC7" w:rsidRDefault="00B91A35" w:rsidP="00965FA5">
      <w:pPr>
        <w:rPr>
          <w:color w:val="252424"/>
        </w:rPr>
      </w:pPr>
    </w:p>
    <w:p w14:paraId="53C90C5A" w14:textId="255677D1" w:rsidR="00AD3B05" w:rsidRPr="00072BC7" w:rsidRDefault="00AD3B05" w:rsidP="00AD3B05">
      <w:pPr>
        <w:rPr>
          <w:color w:val="252424"/>
        </w:rPr>
      </w:pPr>
      <w:r w:rsidRPr="00072BC7">
        <w:rPr>
          <w:b/>
          <w:bCs/>
          <w:color w:val="252424"/>
        </w:rPr>
        <w:t>Or call in (audio only)</w:t>
      </w:r>
      <w:r w:rsidRPr="00072BC7">
        <w:rPr>
          <w:color w:val="252424"/>
        </w:rPr>
        <w:t xml:space="preserve"> </w:t>
      </w:r>
    </w:p>
    <w:p w14:paraId="62EBCA23" w14:textId="7967B3FB" w:rsidR="00AD3B05" w:rsidRPr="00072BC7" w:rsidRDefault="00000000" w:rsidP="00AD3B05">
      <w:pPr>
        <w:rPr>
          <w:b/>
          <w:bCs/>
          <w:color w:val="252424"/>
        </w:rPr>
      </w:pPr>
      <w:hyperlink r:id="rId24" w:anchor=" " w:history="1">
        <w:r w:rsidR="00E973E4" w:rsidRPr="00072BC7">
          <w:rPr>
            <w:rStyle w:val="Hyperlink"/>
            <w:b/>
            <w:bCs/>
            <w:color w:val="6264A7"/>
          </w:rPr>
          <w:t>(</w:t>
        </w:r>
        <w:r w:rsidR="00AD3B05" w:rsidRPr="00072BC7">
          <w:rPr>
            <w:rStyle w:val="Hyperlink"/>
            <w:b/>
            <w:bCs/>
            <w:color w:val="6264A7"/>
          </w:rPr>
          <w:t>629</w:t>
        </w:r>
        <w:r w:rsidR="00E973E4" w:rsidRPr="00072BC7">
          <w:rPr>
            <w:rStyle w:val="Hyperlink"/>
            <w:b/>
            <w:bCs/>
            <w:color w:val="6264A7"/>
          </w:rPr>
          <w:t xml:space="preserve">) </w:t>
        </w:r>
        <w:r w:rsidR="00AD3B05" w:rsidRPr="00072BC7">
          <w:rPr>
            <w:rStyle w:val="Hyperlink"/>
            <w:b/>
            <w:bCs/>
            <w:color w:val="6264A7"/>
          </w:rPr>
          <w:t>209-4396</w:t>
        </w:r>
      </w:hyperlink>
      <w:r w:rsidR="00AD3B05" w:rsidRPr="00072BC7">
        <w:rPr>
          <w:b/>
          <w:bCs/>
          <w:color w:val="252424"/>
        </w:rPr>
        <w:t xml:space="preserve"> </w:t>
      </w:r>
    </w:p>
    <w:p w14:paraId="0AB67AB5" w14:textId="76CF29CA" w:rsidR="00AD3B05" w:rsidRPr="00072BC7" w:rsidRDefault="00AD3B05" w:rsidP="00AD3B05">
      <w:pPr>
        <w:rPr>
          <w:color w:val="252424"/>
        </w:rPr>
      </w:pPr>
      <w:r w:rsidRPr="00072BC7">
        <w:rPr>
          <w:color w:val="252424"/>
        </w:rPr>
        <w:t xml:space="preserve">Phone Conference ID: </w:t>
      </w:r>
      <w:r w:rsidR="005D3A83" w:rsidRPr="00072BC7">
        <w:rPr>
          <w:color w:val="252424"/>
        </w:rPr>
        <w:t>194 962 805#</w:t>
      </w:r>
    </w:p>
    <w:p w14:paraId="6BB019B8" w14:textId="77777777" w:rsidR="009A7E56" w:rsidRPr="00D50799" w:rsidRDefault="009A7E56" w:rsidP="008B3B96">
      <w:pPr>
        <w:keepLines/>
        <w:contextualSpacing/>
        <w:rPr>
          <w:highlight w:val="yellow"/>
        </w:rPr>
      </w:pPr>
    </w:p>
    <w:p w14:paraId="3387D4F1" w14:textId="77777777" w:rsidR="003E08BA" w:rsidRPr="003E08BA" w:rsidRDefault="003E08BA" w:rsidP="003E08BA"/>
    <w:p w14:paraId="35AE7B32" w14:textId="77777777" w:rsidR="003E08BA" w:rsidRDefault="003E08BA" w:rsidP="0057607B">
      <w:pPr>
        <w:keepLines/>
        <w:contextualSpacing/>
        <w:rPr>
          <w:rStyle w:val="Strong"/>
          <w:b w:val="0"/>
          <w:bCs w:val="0"/>
        </w:rPr>
        <w:sectPr w:rsidR="003E08BA" w:rsidSect="00A224CF">
          <w:headerReference w:type="default" r:id="rId25"/>
          <w:pgSz w:w="12240" w:h="15840"/>
          <w:pgMar w:top="1440" w:right="1440" w:bottom="1440" w:left="1440" w:header="720" w:footer="720" w:gutter="0"/>
          <w:pgNumType w:start="1"/>
          <w:cols w:space="720"/>
          <w:docGrid w:linePitch="360"/>
        </w:sectPr>
      </w:pPr>
    </w:p>
    <w:p w14:paraId="4D7E81DB" w14:textId="097267E9" w:rsidR="000E4400" w:rsidRPr="00EE7081" w:rsidRDefault="000E4400" w:rsidP="000E4400">
      <w:pPr>
        <w:pStyle w:val="Heading1"/>
        <w:keepNext w:val="0"/>
        <w:keepLines/>
        <w:rPr>
          <w:rStyle w:val="Strong"/>
          <w:rFonts w:ascii="Open Sans" w:hAnsi="Open Sans"/>
          <w:b/>
          <w:bCs w:val="0"/>
        </w:rPr>
      </w:pPr>
      <w:bookmarkStart w:id="7" w:name="_Toc30575333"/>
      <w:bookmarkStart w:id="8" w:name="_Toc128579609"/>
      <w:r w:rsidRPr="00EE7081">
        <w:rPr>
          <w:rStyle w:val="Strong"/>
          <w:rFonts w:ascii="Open Sans" w:hAnsi="Open Sans"/>
          <w:b/>
          <w:bCs w:val="0"/>
        </w:rPr>
        <w:lastRenderedPageBreak/>
        <w:t xml:space="preserve">SECTION </w:t>
      </w:r>
      <w:r>
        <w:rPr>
          <w:rStyle w:val="Strong"/>
          <w:rFonts w:ascii="Open Sans" w:hAnsi="Open Sans"/>
          <w:b/>
          <w:bCs w:val="0"/>
        </w:rPr>
        <w:t>2</w:t>
      </w:r>
      <w:r w:rsidRPr="00EE7081">
        <w:rPr>
          <w:rStyle w:val="Strong"/>
          <w:rFonts w:ascii="Open Sans" w:hAnsi="Open Sans"/>
          <w:b/>
          <w:bCs w:val="0"/>
        </w:rPr>
        <w:t xml:space="preserve"> – </w:t>
      </w:r>
      <w:r w:rsidR="0094774C">
        <w:rPr>
          <w:rStyle w:val="Strong"/>
          <w:rFonts w:ascii="Open Sans" w:hAnsi="Open Sans"/>
          <w:b/>
          <w:bCs w:val="0"/>
        </w:rPr>
        <w:t>IELCE</w:t>
      </w:r>
      <w:r>
        <w:rPr>
          <w:rStyle w:val="Strong"/>
          <w:rFonts w:ascii="Open Sans" w:hAnsi="Open Sans"/>
          <w:b/>
          <w:bCs w:val="0"/>
        </w:rPr>
        <w:t xml:space="preserve"> Program overview</w:t>
      </w:r>
      <w:bookmarkEnd w:id="8"/>
    </w:p>
    <w:p w14:paraId="5C553FD4" w14:textId="77777777" w:rsidR="000E4400" w:rsidRPr="009622D5" w:rsidRDefault="000E4400" w:rsidP="00F71E24">
      <w:pPr>
        <w:pStyle w:val="Heading2"/>
        <w:rPr>
          <w:sz w:val="22"/>
          <w:szCs w:val="18"/>
        </w:rPr>
      </w:pPr>
    </w:p>
    <w:p w14:paraId="6D939E82" w14:textId="2B3997DC" w:rsidR="00DB5A39" w:rsidRPr="00EE7081" w:rsidRDefault="00DB5A39" w:rsidP="00F71E24">
      <w:pPr>
        <w:pStyle w:val="Heading2"/>
      </w:pPr>
      <w:bookmarkStart w:id="9" w:name="_Toc128579610"/>
      <w:r>
        <w:t>Participant Eligibility</w:t>
      </w:r>
      <w:r w:rsidRPr="00226C49">
        <w:rPr>
          <w:rStyle w:val="FootnoteReference"/>
          <w:b w:val="0"/>
          <w:bCs/>
          <w:sz w:val="22"/>
          <w:szCs w:val="14"/>
        </w:rPr>
        <w:footnoteReference w:id="7"/>
      </w:r>
      <w:bookmarkEnd w:id="7"/>
      <w:bookmarkEnd w:id="9"/>
    </w:p>
    <w:p w14:paraId="5334DE35" w14:textId="77777777" w:rsidR="00DB5A39" w:rsidRPr="00EE7081" w:rsidRDefault="00DB5A39" w:rsidP="00DB5A39">
      <w:pPr>
        <w:keepLines/>
      </w:pPr>
    </w:p>
    <w:p w14:paraId="2E3D8746" w14:textId="77777777" w:rsidR="00DB5A39" w:rsidRDefault="00DB5A39" w:rsidP="00DB5A39">
      <w:pPr>
        <w:keepLines/>
        <w:spacing w:after="120"/>
      </w:pPr>
      <w:r w:rsidRPr="00EE7081">
        <w:t>Program participants must meet the criteria of an “eligible individual”. The term “eligible individual” means an individual</w:t>
      </w:r>
      <w:r>
        <w:t>:</w:t>
      </w:r>
    </w:p>
    <w:p w14:paraId="097B511D" w14:textId="77777777" w:rsidR="00DB5A39" w:rsidRDefault="00DB5A39" w:rsidP="0057206D">
      <w:pPr>
        <w:pStyle w:val="ListParagraph"/>
        <w:keepLines/>
        <w:numPr>
          <w:ilvl w:val="0"/>
          <w:numId w:val="21"/>
        </w:numPr>
        <w:spacing w:after="120" w:line="240" w:lineRule="auto"/>
        <w:contextualSpacing w:val="0"/>
        <w:rPr>
          <w:rFonts w:ascii="Open Sans" w:hAnsi="Open Sans"/>
        </w:rPr>
      </w:pPr>
      <w:r>
        <w:rPr>
          <w:rFonts w:ascii="Open Sans" w:hAnsi="Open Sans"/>
        </w:rPr>
        <w:t>W</w:t>
      </w:r>
      <w:r w:rsidRPr="00705BF1">
        <w:rPr>
          <w:rFonts w:ascii="Open Sans" w:hAnsi="Open Sans"/>
        </w:rPr>
        <w:t>ho has attained 16 years of age</w:t>
      </w:r>
      <w:r>
        <w:rPr>
          <w:rFonts w:ascii="Open Sans" w:hAnsi="Open Sans"/>
        </w:rPr>
        <w:t>;</w:t>
      </w:r>
    </w:p>
    <w:p w14:paraId="5AE3805A" w14:textId="77777777" w:rsidR="00DB5A39" w:rsidRDefault="00DB5A39" w:rsidP="0057206D">
      <w:pPr>
        <w:pStyle w:val="ListParagraph"/>
        <w:keepLines/>
        <w:numPr>
          <w:ilvl w:val="0"/>
          <w:numId w:val="21"/>
        </w:numPr>
        <w:spacing w:after="120" w:line="240" w:lineRule="auto"/>
        <w:contextualSpacing w:val="0"/>
        <w:rPr>
          <w:rFonts w:ascii="Open Sans" w:hAnsi="Open Sans"/>
        </w:rPr>
      </w:pPr>
      <w:r>
        <w:rPr>
          <w:rFonts w:ascii="Open Sans" w:hAnsi="Open Sans"/>
        </w:rPr>
        <w:t>W</w:t>
      </w:r>
      <w:r w:rsidRPr="00705BF1">
        <w:rPr>
          <w:rFonts w:ascii="Open Sans" w:hAnsi="Open Sans"/>
        </w:rPr>
        <w:t xml:space="preserve">ho is not enrolled or required to be enrolled in secondary school under State law; and </w:t>
      </w:r>
    </w:p>
    <w:p w14:paraId="2E9EF804" w14:textId="68CBF9E0" w:rsidR="00835A9E" w:rsidRPr="00805804" w:rsidRDefault="00DB5A39" w:rsidP="0057206D">
      <w:pPr>
        <w:pStyle w:val="ListParagraph"/>
        <w:keepLines/>
        <w:numPr>
          <w:ilvl w:val="0"/>
          <w:numId w:val="21"/>
        </w:numPr>
        <w:spacing w:after="0" w:line="240" w:lineRule="auto"/>
        <w:contextualSpacing w:val="0"/>
      </w:pPr>
      <w:r>
        <w:rPr>
          <w:rFonts w:ascii="Open Sans" w:hAnsi="Open Sans"/>
        </w:rPr>
        <w:t>W</w:t>
      </w:r>
      <w:r w:rsidR="008626E7" w:rsidRPr="00EE7081">
        <w:rPr>
          <w:rFonts w:ascii="Open Sans" w:hAnsi="Open Sans"/>
        </w:rPr>
        <w:t>ho is an English language learner, including if they are a professional with a degree or credential obtained in their native country</w:t>
      </w:r>
      <w:r w:rsidR="008626E7">
        <w:rPr>
          <w:rFonts w:ascii="Open Sans" w:hAnsi="Open Sans"/>
        </w:rPr>
        <w:t>.</w:t>
      </w:r>
    </w:p>
    <w:p w14:paraId="743DFDCF" w14:textId="77777777" w:rsidR="00805804" w:rsidRPr="00EE7081" w:rsidRDefault="00805804" w:rsidP="00805804">
      <w:pPr>
        <w:keepLines/>
      </w:pPr>
    </w:p>
    <w:p w14:paraId="653C5BD3" w14:textId="79B944AD" w:rsidR="008B4045" w:rsidRDefault="00C34D2E" w:rsidP="00F71E24">
      <w:pPr>
        <w:pStyle w:val="Heading2"/>
      </w:pPr>
      <w:bookmarkStart w:id="10" w:name="_Toc30575337"/>
      <w:bookmarkStart w:id="11" w:name="_Hlk54189719"/>
      <w:bookmarkStart w:id="12" w:name="_Toc30575334"/>
      <w:bookmarkStart w:id="13" w:name="_Toc128579611"/>
      <w:r>
        <w:t>Program Activities and Services</w:t>
      </w:r>
      <w:bookmarkEnd w:id="13"/>
    </w:p>
    <w:p w14:paraId="3861A278" w14:textId="77777777" w:rsidR="008D7145" w:rsidRDefault="008D7145" w:rsidP="00F71E24"/>
    <w:p w14:paraId="605ADF20" w14:textId="30AEB66F" w:rsidR="008617FF" w:rsidRDefault="008617FF" w:rsidP="008617FF">
      <w:pPr>
        <w:keepLines/>
      </w:pPr>
      <w:r w:rsidRPr="00EE7081">
        <w:t>The term “</w:t>
      </w:r>
      <w:r>
        <w:t>I</w:t>
      </w:r>
      <w:r w:rsidRPr="00EE7081">
        <w:t xml:space="preserve">ntegrated English </w:t>
      </w:r>
      <w:r>
        <w:t>L</w:t>
      </w:r>
      <w:r w:rsidRPr="00EE7081">
        <w:t xml:space="preserve">iteracy and </w:t>
      </w:r>
      <w:r>
        <w:t>C</w:t>
      </w:r>
      <w:r w:rsidRPr="00EE7081">
        <w:t xml:space="preserve">ivics </w:t>
      </w:r>
      <w:r>
        <w:t>E</w:t>
      </w:r>
      <w:r w:rsidRPr="00EE7081">
        <w:t>ducation</w:t>
      </w:r>
      <w:r>
        <w:t xml:space="preserve"> (IELCE)</w:t>
      </w:r>
      <w:r w:rsidRPr="00EE7081">
        <w:t>” means education services provided to English language learners who are adults, including professionals with degrees and credentials in their native countries, that enables such adults to achieve competency in the English language and acquire the basic and more advanced skills needed to function effectively as parents, workers, and citizens in the United States.</w:t>
      </w:r>
      <w:r w:rsidRPr="00EE7081">
        <w:rPr>
          <w:rStyle w:val="FootnoteReference"/>
        </w:rPr>
        <w:footnoteReference w:id="8"/>
      </w:r>
    </w:p>
    <w:p w14:paraId="08442E79" w14:textId="77777777" w:rsidR="00AA56E3" w:rsidRDefault="00AA56E3" w:rsidP="00B9746E">
      <w:pPr>
        <w:keepLines/>
        <w:contextualSpacing/>
      </w:pPr>
    </w:p>
    <w:p w14:paraId="192EAF0F" w14:textId="6D1A2C7E" w:rsidR="008617FF" w:rsidRPr="00EE7081" w:rsidRDefault="008617FF" w:rsidP="008617FF">
      <w:pPr>
        <w:keepLines/>
        <w:spacing w:after="120"/>
      </w:pPr>
      <w:r w:rsidRPr="00EE7081">
        <w:t>Grantees receiving funds through the IELCE program must provide services that</w:t>
      </w:r>
      <w:r w:rsidR="00B9746E">
        <w:t xml:space="preserve"> -</w:t>
      </w:r>
    </w:p>
    <w:p w14:paraId="2EFEA386" w14:textId="77777777" w:rsidR="008617FF" w:rsidRDefault="008617FF" w:rsidP="008617FF">
      <w:pPr>
        <w:pStyle w:val="ListParagraph"/>
        <w:keepLines/>
        <w:numPr>
          <w:ilvl w:val="0"/>
          <w:numId w:val="33"/>
        </w:numPr>
        <w:spacing w:after="120" w:line="240" w:lineRule="auto"/>
        <w:contextualSpacing w:val="0"/>
        <w:rPr>
          <w:rFonts w:ascii="Open Sans" w:hAnsi="Open Sans"/>
        </w:rPr>
      </w:pPr>
      <w:r w:rsidRPr="0067267D">
        <w:rPr>
          <w:rFonts w:ascii="Open Sans" w:hAnsi="Open Sans"/>
        </w:rPr>
        <w:t>Include instruction in literacy and English language acquisition;</w:t>
      </w:r>
    </w:p>
    <w:p w14:paraId="79D413AF" w14:textId="6C73CA04" w:rsidR="008617FF" w:rsidRDefault="008617FF" w:rsidP="008617FF">
      <w:pPr>
        <w:pStyle w:val="ListParagraph"/>
        <w:keepLines/>
        <w:numPr>
          <w:ilvl w:val="0"/>
          <w:numId w:val="33"/>
        </w:numPr>
        <w:spacing w:after="120" w:line="240" w:lineRule="auto"/>
        <w:contextualSpacing w:val="0"/>
        <w:rPr>
          <w:rFonts w:ascii="Open Sans" w:hAnsi="Open Sans"/>
        </w:rPr>
      </w:pPr>
      <w:r w:rsidRPr="0079716A">
        <w:rPr>
          <w:rFonts w:ascii="Open Sans" w:hAnsi="Open Sans"/>
        </w:rPr>
        <w:t xml:space="preserve">Include instruction on the rights and responsibilities of citizenship and civic </w:t>
      </w:r>
      <w:r>
        <w:rPr>
          <w:rFonts w:ascii="Open Sans" w:hAnsi="Open Sans"/>
        </w:rPr>
        <w:t>p</w:t>
      </w:r>
      <w:r w:rsidRPr="0079716A">
        <w:rPr>
          <w:rFonts w:ascii="Open Sans" w:hAnsi="Open Sans"/>
        </w:rPr>
        <w:t>articipation;</w:t>
      </w:r>
      <w:r w:rsidR="006D5058">
        <w:rPr>
          <w:rFonts w:ascii="Open Sans" w:hAnsi="Open Sans"/>
        </w:rPr>
        <w:t xml:space="preserve"> and</w:t>
      </w:r>
    </w:p>
    <w:p w14:paraId="58040FC4" w14:textId="28ACBE3C" w:rsidR="008617FF" w:rsidRPr="0079716A" w:rsidRDefault="008E5290" w:rsidP="008617FF">
      <w:pPr>
        <w:pStyle w:val="ListParagraph"/>
        <w:keepLines/>
        <w:numPr>
          <w:ilvl w:val="0"/>
          <w:numId w:val="33"/>
        </w:numPr>
        <w:spacing w:after="120" w:line="240" w:lineRule="auto"/>
        <w:contextualSpacing w:val="0"/>
        <w:rPr>
          <w:rFonts w:ascii="Open Sans" w:hAnsi="Open Sans"/>
        </w:rPr>
      </w:pPr>
      <w:r>
        <w:rPr>
          <w:rFonts w:ascii="Open Sans" w:hAnsi="Open Sans"/>
        </w:rPr>
        <w:t>Are delivered in combination with integrated education and training</w:t>
      </w:r>
      <w:r w:rsidR="008617FF" w:rsidRPr="0079716A">
        <w:rPr>
          <w:rFonts w:ascii="Open Sans" w:hAnsi="Open Sans"/>
        </w:rPr>
        <w:t xml:space="preserve"> (IET) </w:t>
      </w:r>
      <w:r>
        <w:rPr>
          <w:rFonts w:ascii="Open Sans" w:hAnsi="Open Sans"/>
        </w:rPr>
        <w:t>activities</w:t>
      </w:r>
      <w:r w:rsidR="008617FF" w:rsidRPr="0079716A">
        <w:rPr>
          <w:rFonts w:ascii="Open Sans" w:hAnsi="Open Sans"/>
        </w:rPr>
        <w:t>;</w:t>
      </w:r>
      <w:r w:rsidR="008617FF" w:rsidRPr="00EE7081">
        <w:rPr>
          <w:rStyle w:val="FootnoteReference"/>
          <w:rFonts w:ascii="Open Sans" w:hAnsi="Open Sans"/>
        </w:rPr>
        <w:footnoteReference w:id="9"/>
      </w:r>
      <w:r w:rsidR="008617FF" w:rsidRPr="0079716A">
        <w:rPr>
          <w:rFonts w:ascii="Open Sans" w:hAnsi="Open Sans"/>
        </w:rPr>
        <w:t xml:space="preserve"> and</w:t>
      </w:r>
      <w:bookmarkStart w:id="14" w:name="_Toc30575326"/>
    </w:p>
    <w:bookmarkEnd w:id="14"/>
    <w:p w14:paraId="2EDDC153" w14:textId="77777777" w:rsidR="008617FF" w:rsidRPr="00EE7081" w:rsidRDefault="008617FF" w:rsidP="008617FF">
      <w:pPr>
        <w:pStyle w:val="ListParagraph"/>
        <w:keepLines/>
        <w:numPr>
          <w:ilvl w:val="0"/>
          <w:numId w:val="33"/>
        </w:numPr>
        <w:spacing w:after="120" w:line="240" w:lineRule="auto"/>
        <w:contextualSpacing w:val="0"/>
        <w:rPr>
          <w:rFonts w:ascii="Open Sans" w:hAnsi="Open Sans"/>
        </w:rPr>
      </w:pPr>
      <w:r w:rsidRPr="00EE7081">
        <w:rPr>
          <w:rFonts w:ascii="Open Sans" w:hAnsi="Open Sans"/>
        </w:rPr>
        <w:t>Are designed to:</w:t>
      </w:r>
    </w:p>
    <w:p w14:paraId="0C4E4EF1" w14:textId="77777777" w:rsidR="008617FF" w:rsidRPr="00EE7081" w:rsidRDefault="008617FF" w:rsidP="008617FF">
      <w:pPr>
        <w:pStyle w:val="ListParagraph"/>
        <w:keepLines/>
        <w:numPr>
          <w:ilvl w:val="1"/>
          <w:numId w:val="33"/>
        </w:numPr>
        <w:spacing w:after="120" w:line="240" w:lineRule="auto"/>
        <w:contextualSpacing w:val="0"/>
        <w:rPr>
          <w:rFonts w:ascii="Open Sans" w:hAnsi="Open Sans"/>
        </w:rPr>
      </w:pPr>
      <w:r w:rsidRPr="00EE7081">
        <w:rPr>
          <w:rFonts w:ascii="Open Sans" w:hAnsi="Open Sans"/>
        </w:rPr>
        <w:t>Prepare adults who are English language learners for, and place such adults in, unsubsidized employment in in-demand industries and occupations that lead to economic self-sufficiency; and</w:t>
      </w:r>
    </w:p>
    <w:p w14:paraId="33373976" w14:textId="7E270EEF" w:rsidR="008617FF" w:rsidRDefault="008617FF" w:rsidP="00773C7F">
      <w:pPr>
        <w:pStyle w:val="ListParagraph"/>
        <w:keepLines/>
        <w:numPr>
          <w:ilvl w:val="1"/>
          <w:numId w:val="33"/>
        </w:numPr>
        <w:spacing w:after="0" w:line="240" w:lineRule="auto"/>
        <w:rPr>
          <w:rFonts w:ascii="Open Sans" w:hAnsi="Open Sans"/>
        </w:rPr>
      </w:pPr>
      <w:r w:rsidRPr="00EE7081">
        <w:rPr>
          <w:rFonts w:ascii="Open Sans" w:hAnsi="Open Sans"/>
        </w:rPr>
        <w:lastRenderedPageBreak/>
        <w:t>Integrate with the local workforce development system and its functions to carry out the activities of the program.</w:t>
      </w:r>
      <w:r w:rsidR="00B60CC7">
        <w:rPr>
          <w:rStyle w:val="FootnoteReference"/>
          <w:rFonts w:ascii="Open Sans" w:hAnsi="Open Sans"/>
        </w:rPr>
        <w:footnoteReference w:id="10"/>
      </w:r>
    </w:p>
    <w:p w14:paraId="3B74E4C7" w14:textId="77777777" w:rsidR="00773C7F" w:rsidRPr="00773C7F" w:rsidRDefault="00773C7F" w:rsidP="00773C7F">
      <w:pPr>
        <w:keepLines/>
      </w:pPr>
    </w:p>
    <w:p w14:paraId="7538EBF2" w14:textId="366541D6" w:rsidR="00F86D3C" w:rsidRPr="001D658A" w:rsidRDefault="00F86D3C" w:rsidP="00F86D3C">
      <w:pPr>
        <w:keepLines/>
        <w:spacing w:after="120"/>
      </w:pPr>
      <w:r w:rsidRPr="00EF15A7">
        <w:rPr>
          <w:b/>
          <w:bCs/>
          <w:i/>
          <w:iCs/>
        </w:rPr>
        <w:t>Literacy</w:t>
      </w:r>
      <w:r w:rsidR="001E3830">
        <w:rPr>
          <w:rStyle w:val="FootnoteReference"/>
          <w:i/>
          <w:iCs/>
        </w:rPr>
        <w:footnoteReference w:id="11"/>
      </w:r>
    </w:p>
    <w:p w14:paraId="23C09076" w14:textId="0CD75E25" w:rsidR="00F86D3C" w:rsidRPr="001D658A" w:rsidRDefault="00F86D3C" w:rsidP="00F86D3C">
      <w:pPr>
        <w:pStyle w:val="Default"/>
        <w:keepLines/>
        <w:widowControl/>
        <w:rPr>
          <w:rFonts w:ascii="Open Sans" w:hAnsi="Open Sans" w:cs="Open Sans"/>
          <w:sz w:val="22"/>
        </w:rPr>
      </w:pPr>
      <w:r w:rsidRPr="001D658A">
        <w:rPr>
          <w:rFonts w:ascii="Open Sans" w:hAnsi="Open Sans" w:cs="Open Sans"/>
          <w:sz w:val="22"/>
        </w:rPr>
        <w:t>“</w:t>
      </w:r>
      <w:r w:rsidR="005E635B">
        <w:rPr>
          <w:rFonts w:ascii="Open Sans" w:hAnsi="Open Sans" w:cs="Open Sans"/>
          <w:sz w:val="22"/>
        </w:rPr>
        <w:t>L</w:t>
      </w:r>
      <w:r w:rsidRPr="001D658A">
        <w:rPr>
          <w:rFonts w:ascii="Open Sans" w:hAnsi="Open Sans" w:cs="Open Sans"/>
          <w:sz w:val="22"/>
        </w:rPr>
        <w:t>iteracy” means an individual’s ability to read, write, and speak in English, compute, and solve problems, at levels of proficiency necessary to function on the job, in the family of the individual, and in society.</w:t>
      </w:r>
    </w:p>
    <w:p w14:paraId="417CF22A" w14:textId="77777777" w:rsidR="009609BE" w:rsidRPr="00C857FA" w:rsidRDefault="009609BE" w:rsidP="00C857FA">
      <w:pPr>
        <w:keepLines/>
      </w:pPr>
    </w:p>
    <w:p w14:paraId="276C8666" w14:textId="77777777" w:rsidR="00F86D3C" w:rsidRPr="00CB6253" w:rsidRDefault="00F86D3C" w:rsidP="00F86D3C">
      <w:pPr>
        <w:keepLines/>
        <w:spacing w:after="120"/>
      </w:pPr>
      <w:r w:rsidRPr="00EF15A7">
        <w:rPr>
          <w:b/>
          <w:bCs/>
          <w:i/>
          <w:iCs/>
        </w:rPr>
        <w:t>English Language Acquisition</w:t>
      </w:r>
      <w:r w:rsidRPr="001D658A">
        <w:rPr>
          <w:rStyle w:val="FootnoteReference"/>
        </w:rPr>
        <w:footnoteReference w:id="12"/>
      </w:r>
    </w:p>
    <w:p w14:paraId="096CAC7B" w14:textId="5CEEB4E2" w:rsidR="00F86D3C" w:rsidRPr="001D658A" w:rsidRDefault="00F86D3C" w:rsidP="00F86D3C">
      <w:pPr>
        <w:keepLines/>
      </w:pPr>
      <w:r w:rsidRPr="001D658A">
        <w:t xml:space="preserve">English language acquisition </w:t>
      </w:r>
      <w:r w:rsidR="008A4077">
        <w:t>programs and</w:t>
      </w:r>
      <w:r w:rsidRPr="001D658A">
        <w:t xml:space="preserve"> activities are designed to help eligible individuals who are English language learners achieve competence in reading, writing, speaking, and comprehension of the English language.</w:t>
      </w:r>
    </w:p>
    <w:bookmarkEnd w:id="10"/>
    <w:p w14:paraId="7FBD1A59" w14:textId="27434B17" w:rsidR="00D80F6A" w:rsidRDefault="00D80F6A" w:rsidP="008147B6">
      <w:pPr>
        <w:keepLines/>
        <w:contextualSpacing/>
      </w:pPr>
    </w:p>
    <w:p w14:paraId="1CFD68C9" w14:textId="77777777" w:rsidR="005A73CE" w:rsidRPr="00CB6253" w:rsidRDefault="005A73CE" w:rsidP="005A73CE">
      <w:pPr>
        <w:keepLines/>
        <w:spacing w:after="120"/>
      </w:pPr>
      <w:r w:rsidRPr="00EF15A7">
        <w:rPr>
          <w:b/>
          <w:bCs/>
          <w:i/>
          <w:iCs/>
        </w:rPr>
        <w:t>Integrated Education &amp; Training</w:t>
      </w:r>
      <w:r w:rsidRPr="001D658A">
        <w:rPr>
          <w:rStyle w:val="FootnoteReference"/>
          <w:color w:val="000000"/>
          <w:shd w:val="clear" w:color="auto" w:fill="FFFFFF"/>
        </w:rPr>
        <w:footnoteReference w:id="13"/>
      </w:r>
    </w:p>
    <w:p w14:paraId="0BFE1F54" w14:textId="5265B84D" w:rsidR="00F86D3C" w:rsidRDefault="005A73CE" w:rsidP="005A73CE">
      <w:pPr>
        <w:keepLines/>
        <w:rPr>
          <w:color w:val="000000"/>
          <w:shd w:val="clear" w:color="auto" w:fill="FFFFFF"/>
        </w:rPr>
      </w:pPr>
      <w:r w:rsidRPr="001D658A">
        <w:rPr>
          <w:color w:val="000000"/>
          <w:shd w:val="clear" w:color="auto" w:fill="FFFFFF"/>
        </w:rPr>
        <w:t>The term “integrated education and training” (IET) refers to a service approach that provides adult education and literacy activities concurrently and contextually with workforce preparation activities and workforce training for a specific occupation or occupational cluster for the purpose of educational and career advancement.</w:t>
      </w:r>
    </w:p>
    <w:p w14:paraId="235C3346" w14:textId="77777777" w:rsidR="005A73CE" w:rsidRPr="001D658A" w:rsidRDefault="005A73CE" w:rsidP="005A73CE">
      <w:pPr>
        <w:keepLines/>
      </w:pPr>
    </w:p>
    <w:p w14:paraId="2DFD8E01" w14:textId="474DC4A2" w:rsidR="00A244DD" w:rsidRDefault="00A244DD" w:rsidP="00EF15A7">
      <w:pPr>
        <w:pStyle w:val="Heading3"/>
        <w:keepLines/>
        <w:spacing w:after="120"/>
        <w:contextualSpacing w:val="0"/>
      </w:pPr>
      <w:r w:rsidRPr="00EF15A7">
        <w:rPr>
          <w:bCs/>
          <w:i/>
          <w:iCs/>
          <w:caps w:val="0"/>
          <w:spacing w:val="0"/>
        </w:rPr>
        <w:t>Workforce Preparation Activities</w:t>
      </w:r>
      <w:r w:rsidRPr="001D658A">
        <w:rPr>
          <w:rStyle w:val="FootnoteReference"/>
          <w:b w:val="0"/>
        </w:rPr>
        <w:footnoteReference w:id="14"/>
      </w:r>
    </w:p>
    <w:p w14:paraId="733D83C4" w14:textId="3EDEB537" w:rsidR="00A244DD" w:rsidRDefault="00844D7E" w:rsidP="00A244DD">
      <w:pPr>
        <w:keepLines/>
      </w:pPr>
      <w:r>
        <w:t>“</w:t>
      </w:r>
      <w:r w:rsidR="00A244DD" w:rsidRPr="00013F54">
        <w:t>Workforce preparation activities</w:t>
      </w:r>
      <w:r>
        <w:t xml:space="preserve">” means </w:t>
      </w:r>
      <w:r w:rsidR="00A244DD" w:rsidRPr="00013F54">
        <w:t xml:space="preserve">activities, programs, </w:t>
      </w:r>
      <w:r w:rsidR="00A244DD" w:rsidRPr="001D658A">
        <w:t>or services designed to help an individual acquire a combination of basic academic skills, critical thinking skills, digital literacy skills, and self-management skills, including competencies in utilizing resources</w:t>
      </w:r>
      <w:r w:rsidR="005F347A">
        <w:t xml:space="preserve">, </w:t>
      </w:r>
      <w:r w:rsidR="00A244DD" w:rsidRPr="001D658A">
        <w:t>using information</w:t>
      </w:r>
      <w:r w:rsidR="005F347A">
        <w:t>,</w:t>
      </w:r>
      <w:r w:rsidR="00A244DD" w:rsidRPr="001D658A">
        <w:t xml:space="preserve"> working with others</w:t>
      </w:r>
      <w:r w:rsidR="005F347A">
        <w:t>,</w:t>
      </w:r>
      <w:r w:rsidR="00A244DD" w:rsidRPr="001D658A">
        <w:t xml:space="preserve"> understanding systems</w:t>
      </w:r>
      <w:r w:rsidR="005F347A">
        <w:t>,</w:t>
      </w:r>
      <w:r w:rsidR="003D5835">
        <w:t xml:space="preserve"> and</w:t>
      </w:r>
      <w:r w:rsidR="005F347A">
        <w:t xml:space="preserve"> obtaining</w:t>
      </w:r>
      <w:r w:rsidR="00A244DD">
        <w:t xml:space="preserve"> </w:t>
      </w:r>
      <w:r w:rsidR="00A244DD" w:rsidRPr="001D658A">
        <w:t>skills necessary for successful transition into and completion of postsecondary education or training, or employment</w:t>
      </w:r>
      <w:r w:rsidR="003D5835">
        <w:t>.</w:t>
      </w:r>
    </w:p>
    <w:p w14:paraId="5411B290" w14:textId="77777777" w:rsidR="00F86D3C" w:rsidRPr="001D658A" w:rsidRDefault="00F86D3C" w:rsidP="00F86D3C">
      <w:pPr>
        <w:keepLines/>
        <w:rPr>
          <w:b/>
          <w:u w:val="single"/>
        </w:rPr>
      </w:pPr>
    </w:p>
    <w:p w14:paraId="567515A4" w14:textId="77777777" w:rsidR="00610B81" w:rsidRDefault="00610B81">
      <w:pPr>
        <w:rPr>
          <w:b/>
          <w:bCs/>
          <w:i/>
          <w:iCs/>
        </w:rPr>
      </w:pPr>
      <w:r>
        <w:rPr>
          <w:b/>
          <w:bCs/>
          <w:i/>
          <w:iCs/>
        </w:rPr>
        <w:br w:type="page"/>
      </w:r>
    </w:p>
    <w:p w14:paraId="3C01F255" w14:textId="2F15128A" w:rsidR="00C26A58" w:rsidRPr="00CB6253" w:rsidRDefault="005E5A82" w:rsidP="00C26A58">
      <w:pPr>
        <w:keepLines/>
        <w:spacing w:after="120"/>
      </w:pPr>
      <w:r>
        <w:rPr>
          <w:b/>
          <w:bCs/>
          <w:i/>
          <w:iCs/>
        </w:rPr>
        <w:lastRenderedPageBreak/>
        <w:t>Adult Basic Education Programs</w:t>
      </w:r>
    </w:p>
    <w:p w14:paraId="71A55705" w14:textId="57067DCD" w:rsidR="003E08BA" w:rsidRPr="003B412D" w:rsidRDefault="005E5A82" w:rsidP="000E76FA">
      <w:pPr>
        <w:keepLines/>
        <w:spacing w:after="120"/>
        <w:rPr>
          <w:b/>
          <w:bCs/>
          <w:smallCaps/>
          <w:spacing w:val="5"/>
        </w:rPr>
      </w:pPr>
      <w:r>
        <w:rPr>
          <w:color w:val="000000"/>
          <w:shd w:val="clear" w:color="auto" w:fill="FFFFFF"/>
        </w:rPr>
        <w:t xml:space="preserve">TDLWD </w:t>
      </w:r>
      <w:r w:rsidR="007A2A79">
        <w:rPr>
          <w:color w:val="000000"/>
          <w:shd w:val="clear" w:color="auto" w:fill="FFFFFF"/>
        </w:rPr>
        <w:t xml:space="preserve">also </w:t>
      </w:r>
      <w:r w:rsidR="00241A56">
        <w:rPr>
          <w:color w:val="000000"/>
          <w:shd w:val="clear" w:color="auto" w:fill="FFFFFF"/>
        </w:rPr>
        <w:t>provides grants to</w:t>
      </w:r>
      <w:r w:rsidR="00EA2C02">
        <w:rPr>
          <w:color w:val="000000"/>
          <w:shd w:val="clear" w:color="auto" w:fill="FFFFFF"/>
        </w:rPr>
        <w:t xml:space="preserve"> local Adult Basic Education (ABE) programs throughout Tennessee. </w:t>
      </w:r>
      <w:r w:rsidR="00865DDD">
        <w:rPr>
          <w:color w:val="000000"/>
          <w:shd w:val="clear" w:color="auto" w:fill="FFFFFF"/>
        </w:rPr>
        <w:t xml:space="preserve">ABE programs are designed </w:t>
      </w:r>
      <w:r w:rsidR="006A1868">
        <w:rPr>
          <w:color w:val="000000"/>
          <w:shd w:val="clear" w:color="auto" w:fill="FFFFFF"/>
        </w:rPr>
        <w:t>to provide</w:t>
      </w:r>
      <w:r w:rsidR="00842CA5">
        <w:rPr>
          <w:color w:val="000000"/>
          <w:shd w:val="clear" w:color="auto" w:fill="FFFFFF"/>
        </w:rPr>
        <w:t xml:space="preserve"> a broader </w:t>
      </w:r>
      <w:r w:rsidR="00B92A89">
        <w:rPr>
          <w:color w:val="000000"/>
          <w:shd w:val="clear" w:color="auto" w:fill="FFFFFF"/>
        </w:rPr>
        <w:t xml:space="preserve">set of </w:t>
      </w:r>
      <w:r w:rsidR="006A1868">
        <w:rPr>
          <w:color w:val="000000"/>
          <w:shd w:val="clear" w:color="auto" w:fill="FFFFFF"/>
        </w:rPr>
        <w:t xml:space="preserve">adult education </w:t>
      </w:r>
      <w:r w:rsidR="00B92A89">
        <w:rPr>
          <w:color w:val="000000"/>
          <w:shd w:val="clear" w:color="auto" w:fill="FFFFFF"/>
        </w:rPr>
        <w:t xml:space="preserve">activities, such as instruction in math, reading, writing, </w:t>
      </w:r>
      <w:r w:rsidR="00CD7FBE">
        <w:rPr>
          <w:color w:val="000000"/>
          <w:shd w:val="clear" w:color="auto" w:fill="FFFFFF"/>
        </w:rPr>
        <w:t xml:space="preserve">ESL, </w:t>
      </w:r>
      <w:r w:rsidR="00E84444">
        <w:rPr>
          <w:color w:val="000000"/>
          <w:shd w:val="clear" w:color="auto" w:fill="FFFFFF"/>
        </w:rPr>
        <w:t xml:space="preserve">and </w:t>
      </w:r>
      <w:r w:rsidR="00B92A89">
        <w:rPr>
          <w:color w:val="000000"/>
          <w:shd w:val="clear" w:color="auto" w:fill="FFFFFF"/>
        </w:rPr>
        <w:t>high school equivalency preparation</w:t>
      </w:r>
      <w:r w:rsidR="00DC3F1C">
        <w:rPr>
          <w:color w:val="000000"/>
          <w:shd w:val="clear" w:color="auto" w:fill="FFFFFF"/>
        </w:rPr>
        <w:t xml:space="preserve">. </w:t>
      </w:r>
      <w:r w:rsidR="00A33CB5">
        <w:rPr>
          <w:color w:val="000000"/>
          <w:shd w:val="clear" w:color="auto" w:fill="FFFFFF"/>
        </w:rPr>
        <w:t xml:space="preserve">Because of </w:t>
      </w:r>
      <w:r w:rsidR="00B42E8E">
        <w:rPr>
          <w:color w:val="000000"/>
          <w:shd w:val="clear" w:color="auto" w:fill="FFFFFF"/>
        </w:rPr>
        <w:t>IELCE programs’</w:t>
      </w:r>
      <w:r w:rsidR="00A33CB5">
        <w:rPr>
          <w:color w:val="000000"/>
          <w:shd w:val="clear" w:color="auto" w:fill="FFFFFF"/>
        </w:rPr>
        <w:t xml:space="preserve"> </w:t>
      </w:r>
      <w:r w:rsidR="00207262">
        <w:rPr>
          <w:color w:val="000000"/>
          <w:shd w:val="clear" w:color="auto" w:fill="FFFFFF"/>
        </w:rPr>
        <w:t xml:space="preserve">required </w:t>
      </w:r>
      <w:r w:rsidR="00A33CB5">
        <w:rPr>
          <w:color w:val="000000"/>
          <w:shd w:val="clear" w:color="auto" w:fill="FFFFFF"/>
        </w:rPr>
        <w:t>focus on civics and integrated education and training that is absent in</w:t>
      </w:r>
      <w:r w:rsidR="00207262">
        <w:rPr>
          <w:color w:val="000000"/>
          <w:shd w:val="clear" w:color="auto" w:fill="FFFFFF"/>
        </w:rPr>
        <w:t xml:space="preserve"> ABE-ESL programs,</w:t>
      </w:r>
      <w:r w:rsidR="00087B55">
        <w:rPr>
          <w:color w:val="000000"/>
          <w:shd w:val="clear" w:color="auto" w:fill="FFFFFF"/>
        </w:rPr>
        <w:t xml:space="preserve"> IELCE programs </w:t>
      </w:r>
      <w:r w:rsidR="00A33CB5">
        <w:t xml:space="preserve">often </w:t>
      </w:r>
      <w:r w:rsidR="00207262">
        <w:t>most benefit</w:t>
      </w:r>
      <w:r w:rsidR="00D17B40">
        <w:t xml:space="preserve"> </w:t>
      </w:r>
      <w:r w:rsidR="00610B81">
        <w:t xml:space="preserve">ESL </w:t>
      </w:r>
      <w:r w:rsidR="00D17B40">
        <w:t>students who are</w:t>
      </w:r>
      <w:r w:rsidR="00A33CB5" w:rsidRPr="00EE7081">
        <w:t xml:space="preserve"> professional</w:t>
      </w:r>
      <w:r w:rsidR="00D17B40">
        <w:t>s</w:t>
      </w:r>
      <w:r w:rsidR="00A33CB5" w:rsidRPr="00EE7081">
        <w:t xml:space="preserve"> with a degree or credential obtained in their native country</w:t>
      </w:r>
      <w:r w:rsidR="00D17B40">
        <w:t xml:space="preserve"> and </w:t>
      </w:r>
      <w:r w:rsidR="007926E8">
        <w:t xml:space="preserve">who </w:t>
      </w:r>
      <w:r w:rsidR="002846DF">
        <w:t>can be “fast-tracked” to training and employment opportunities.</w:t>
      </w:r>
      <w:r w:rsidR="007332CA">
        <w:rPr>
          <w:color w:val="000000"/>
          <w:shd w:val="clear" w:color="auto" w:fill="FFFFFF"/>
        </w:rPr>
        <w:t xml:space="preserve"> </w:t>
      </w:r>
      <w:r w:rsidR="00576508">
        <w:rPr>
          <w:color w:val="000000"/>
          <w:shd w:val="clear" w:color="auto" w:fill="FFFFFF"/>
        </w:rPr>
        <w:t>A</w:t>
      </w:r>
      <w:r w:rsidR="00D92A79">
        <w:rPr>
          <w:color w:val="000000"/>
          <w:shd w:val="clear" w:color="auto" w:fill="FFFFFF"/>
        </w:rPr>
        <w:t xml:space="preserve"> student who meets IELCE program eligibility requirements must be allowed to enroll</w:t>
      </w:r>
      <w:r w:rsidR="00F03470">
        <w:rPr>
          <w:color w:val="000000"/>
          <w:shd w:val="clear" w:color="auto" w:fill="FFFFFF"/>
        </w:rPr>
        <w:t xml:space="preserve"> in the program</w:t>
      </w:r>
      <w:r w:rsidR="00CC6599">
        <w:rPr>
          <w:color w:val="000000"/>
          <w:shd w:val="clear" w:color="auto" w:fill="FFFFFF"/>
        </w:rPr>
        <w:t>;</w:t>
      </w:r>
      <w:r w:rsidR="008410FA">
        <w:rPr>
          <w:color w:val="000000"/>
          <w:shd w:val="clear" w:color="auto" w:fill="FFFFFF"/>
        </w:rPr>
        <w:t xml:space="preserve"> however, s</w:t>
      </w:r>
      <w:r w:rsidR="007332CA">
        <w:rPr>
          <w:color w:val="000000"/>
          <w:shd w:val="clear" w:color="auto" w:fill="FFFFFF"/>
        </w:rPr>
        <w:t xml:space="preserve">tudents </w:t>
      </w:r>
      <w:r w:rsidR="000E76FA">
        <w:rPr>
          <w:color w:val="000000"/>
          <w:shd w:val="clear" w:color="auto" w:fill="FFFFFF"/>
        </w:rPr>
        <w:t>should be referred between ABE and IELCE programs</w:t>
      </w:r>
      <w:r w:rsidR="00CC6599">
        <w:rPr>
          <w:color w:val="000000"/>
          <w:shd w:val="clear" w:color="auto" w:fill="FFFFFF"/>
        </w:rPr>
        <w:t xml:space="preserve"> </w:t>
      </w:r>
      <w:r w:rsidR="002C54FF">
        <w:rPr>
          <w:color w:val="000000"/>
          <w:shd w:val="clear" w:color="auto" w:fill="FFFFFF"/>
        </w:rPr>
        <w:t>based on which program can best meet their needs.</w:t>
      </w:r>
    </w:p>
    <w:p w14:paraId="74CE790E" w14:textId="3C039CDB" w:rsidR="003E08BA" w:rsidRPr="003E08BA" w:rsidRDefault="003E08BA" w:rsidP="003E08BA">
      <w:pPr>
        <w:keepLines/>
        <w:spacing w:after="120"/>
        <w:rPr>
          <w:b/>
          <w:bCs/>
          <w:smallCaps/>
          <w:spacing w:val="5"/>
        </w:rPr>
        <w:sectPr w:rsidR="003E08BA" w:rsidRPr="003E08BA" w:rsidSect="00993FB4">
          <w:headerReference w:type="default" r:id="rId26"/>
          <w:headerReference w:type="first" r:id="rId27"/>
          <w:pgSz w:w="12240" w:h="15840"/>
          <w:pgMar w:top="1440" w:right="1440" w:bottom="1440" w:left="1440" w:header="720" w:footer="720" w:gutter="0"/>
          <w:cols w:space="720"/>
          <w:docGrid w:linePitch="360"/>
        </w:sectPr>
      </w:pPr>
    </w:p>
    <w:p w14:paraId="12261ADC" w14:textId="5463B2E7" w:rsidR="00BA0E95" w:rsidRPr="00EE7081" w:rsidRDefault="00BA0E95" w:rsidP="00BA0E95">
      <w:pPr>
        <w:pStyle w:val="Heading1"/>
        <w:keepNext w:val="0"/>
        <w:keepLines/>
        <w:rPr>
          <w:rFonts w:ascii="Open Sans" w:hAnsi="Open Sans"/>
        </w:rPr>
      </w:pPr>
      <w:bookmarkStart w:id="17" w:name="_Toc30575331"/>
      <w:bookmarkStart w:id="18" w:name="_Toc128579612"/>
      <w:bookmarkEnd w:id="11"/>
      <w:bookmarkEnd w:id="12"/>
      <w:r w:rsidRPr="00EE7081">
        <w:rPr>
          <w:rFonts w:ascii="Open Sans" w:hAnsi="Open Sans"/>
        </w:rPr>
        <w:lastRenderedPageBreak/>
        <w:t xml:space="preserve">Section </w:t>
      </w:r>
      <w:r w:rsidR="000E4400">
        <w:rPr>
          <w:rFonts w:ascii="Open Sans" w:hAnsi="Open Sans"/>
        </w:rPr>
        <w:t>3</w:t>
      </w:r>
      <w:r w:rsidRPr="00EE7081">
        <w:rPr>
          <w:rFonts w:ascii="Open Sans" w:hAnsi="Open Sans"/>
        </w:rPr>
        <w:t xml:space="preserve"> </w:t>
      </w:r>
      <w:r>
        <w:rPr>
          <w:rFonts w:ascii="Open Sans" w:hAnsi="Open Sans"/>
        </w:rPr>
        <w:t>–</w:t>
      </w:r>
      <w:r w:rsidR="00FA56BC">
        <w:rPr>
          <w:rFonts w:ascii="Open Sans" w:hAnsi="Open Sans"/>
        </w:rPr>
        <w:t xml:space="preserve"> performance </w:t>
      </w:r>
      <w:r>
        <w:rPr>
          <w:rFonts w:ascii="Open Sans" w:hAnsi="Open Sans"/>
        </w:rPr>
        <w:t>REQUIREMENTS</w:t>
      </w:r>
      <w:bookmarkEnd w:id="18"/>
    </w:p>
    <w:p w14:paraId="776818B9" w14:textId="61EBF1A1" w:rsidR="00BA0E95" w:rsidRPr="008508D1" w:rsidRDefault="00BA0E95" w:rsidP="00EA0734">
      <w:pPr>
        <w:pStyle w:val="Heading1"/>
        <w:keepNext w:val="0"/>
        <w:keepLines/>
        <w:rPr>
          <w:rStyle w:val="Strong"/>
          <w:rFonts w:ascii="Open Sans" w:hAnsi="Open Sans"/>
          <w:b/>
          <w:bCs w:val="0"/>
          <w:sz w:val="22"/>
          <w:szCs w:val="14"/>
        </w:rPr>
      </w:pPr>
    </w:p>
    <w:p w14:paraId="3D96844F" w14:textId="5066CBEF" w:rsidR="005B3F0E" w:rsidRDefault="0063742F" w:rsidP="00F95C5D">
      <w:pPr>
        <w:keepLines/>
        <w:spacing w:after="120"/>
      </w:pPr>
      <w:r w:rsidRPr="00EE7081">
        <w:t xml:space="preserve">Grantees are expected to </w:t>
      </w:r>
      <w:r w:rsidR="008A3942">
        <w:t xml:space="preserve">meet minimum </w:t>
      </w:r>
      <w:r w:rsidR="008D0ABE">
        <w:t xml:space="preserve">expectations for </w:t>
      </w:r>
      <w:r w:rsidR="008A3942">
        <w:t>performance</w:t>
      </w:r>
      <w:r w:rsidR="008D0ABE">
        <w:t xml:space="preserve"> outcomes. The two </w:t>
      </w:r>
      <w:r w:rsidR="00402ED1">
        <w:t>primary</w:t>
      </w:r>
      <w:r w:rsidR="008D0ABE">
        <w:t xml:space="preserve"> </w:t>
      </w:r>
      <w:r w:rsidR="001F47F2">
        <w:t xml:space="preserve">program </w:t>
      </w:r>
      <w:r w:rsidR="008D0ABE">
        <w:t xml:space="preserve">performance categories </w:t>
      </w:r>
      <w:r w:rsidR="008800FF">
        <w:t xml:space="preserve">established by TDLWD </w:t>
      </w:r>
      <w:r w:rsidR="008D0ABE">
        <w:t xml:space="preserve">are </w:t>
      </w:r>
      <w:r w:rsidR="00ED5923">
        <w:t xml:space="preserve">overall </w:t>
      </w:r>
      <w:r w:rsidR="008D0ABE">
        <w:t xml:space="preserve">participant enrollment and </w:t>
      </w:r>
      <w:r w:rsidR="00ED5923">
        <w:t xml:space="preserve">overall </w:t>
      </w:r>
      <w:r w:rsidR="008D0ABE">
        <w:t>measurable skill gains</w:t>
      </w:r>
      <w:r w:rsidR="00E12AC9">
        <w:t xml:space="preserve"> (MS</w:t>
      </w:r>
      <w:r w:rsidR="00E12AC9" w:rsidRPr="006542B5">
        <w:t>G)</w:t>
      </w:r>
      <w:r w:rsidR="008D0ABE" w:rsidRPr="006542B5">
        <w:t>.</w:t>
      </w:r>
      <w:r w:rsidR="004F6E94" w:rsidRPr="006542B5">
        <w:t xml:space="preserve"> </w:t>
      </w:r>
      <w:r w:rsidR="006542B5" w:rsidRPr="006542B5">
        <w:t>A participant is defined as a student who has at least 12 contact hours with the program. MSG is determined by a participant</w:t>
      </w:r>
      <w:r w:rsidR="005B3F0E">
        <w:t>:</w:t>
      </w:r>
    </w:p>
    <w:p w14:paraId="13F5132B" w14:textId="5F209BFF" w:rsidR="00CF226B" w:rsidRDefault="00CF226B" w:rsidP="00D90CF9">
      <w:pPr>
        <w:pStyle w:val="ListParagraph"/>
        <w:keepLines/>
        <w:numPr>
          <w:ilvl w:val="0"/>
          <w:numId w:val="23"/>
        </w:numPr>
        <w:spacing w:after="120" w:line="240" w:lineRule="auto"/>
        <w:contextualSpacing w:val="0"/>
        <w:rPr>
          <w:rFonts w:ascii="Open Sans" w:hAnsi="Open Sans"/>
        </w:rPr>
      </w:pPr>
      <w:r>
        <w:rPr>
          <w:rFonts w:ascii="Open Sans" w:hAnsi="Open Sans"/>
        </w:rPr>
        <w:t>I</w:t>
      </w:r>
      <w:r w:rsidR="006542B5" w:rsidRPr="00573055">
        <w:rPr>
          <w:rFonts w:ascii="Open Sans" w:hAnsi="Open Sans"/>
        </w:rPr>
        <w:t xml:space="preserve">ncreasing an educational functioning level in reading, writing, listening, or math as determined by a </w:t>
      </w:r>
      <w:r w:rsidR="001C6F00">
        <w:rPr>
          <w:rFonts w:ascii="Open Sans" w:hAnsi="Open Sans"/>
        </w:rPr>
        <w:t>TDLWD</w:t>
      </w:r>
      <w:r w:rsidR="006542B5" w:rsidRPr="00573055">
        <w:rPr>
          <w:rFonts w:ascii="Open Sans" w:hAnsi="Open Sans"/>
        </w:rPr>
        <w:t>-approved assessment</w:t>
      </w:r>
      <w:r w:rsidR="0082619D">
        <w:rPr>
          <w:rFonts w:ascii="Open Sans" w:hAnsi="Open Sans"/>
        </w:rPr>
        <w:t xml:space="preserve"> (e.g., TABE</w:t>
      </w:r>
      <w:r w:rsidR="009912F4">
        <w:rPr>
          <w:rFonts w:ascii="Open Sans" w:hAnsi="Open Sans"/>
        </w:rPr>
        <w:t xml:space="preserve"> or CASAS)</w:t>
      </w:r>
      <w:r w:rsidR="006542B5" w:rsidRPr="00573055">
        <w:rPr>
          <w:rFonts w:ascii="Open Sans" w:hAnsi="Open Sans"/>
        </w:rPr>
        <w:t xml:space="preserve">; </w:t>
      </w:r>
    </w:p>
    <w:p w14:paraId="30E97590" w14:textId="239B5F55" w:rsidR="00CF226B" w:rsidRDefault="00CF226B" w:rsidP="00D90CF9">
      <w:pPr>
        <w:pStyle w:val="ListParagraph"/>
        <w:keepLines/>
        <w:numPr>
          <w:ilvl w:val="0"/>
          <w:numId w:val="23"/>
        </w:numPr>
        <w:spacing w:after="120" w:line="240" w:lineRule="auto"/>
        <w:contextualSpacing w:val="0"/>
        <w:rPr>
          <w:rFonts w:ascii="Open Sans" w:hAnsi="Open Sans"/>
        </w:rPr>
      </w:pPr>
      <w:r>
        <w:rPr>
          <w:rFonts w:ascii="Open Sans" w:hAnsi="Open Sans"/>
        </w:rPr>
        <w:t>O</w:t>
      </w:r>
      <w:r w:rsidR="006542B5" w:rsidRPr="00573055">
        <w:rPr>
          <w:rFonts w:ascii="Open Sans" w:hAnsi="Open Sans"/>
        </w:rPr>
        <w:t xml:space="preserve">btaining a secondary school diploma or its recognized equivalent; </w:t>
      </w:r>
    </w:p>
    <w:p w14:paraId="4A309CE0" w14:textId="41B9F3F5" w:rsidR="006542B5" w:rsidRDefault="00CF226B" w:rsidP="00D90CF9">
      <w:pPr>
        <w:pStyle w:val="ListParagraph"/>
        <w:keepLines/>
        <w:numPr>
          <w:ilvl w:val="0"/>
          <w:numId w:val="23"/>
        </w:numPr>
        <w:spacing w:after="120" w:line="240" w:lineRule="auto"/>
        <w:contextualSpacing w:val="0"/>
        <w:rPr>
          <w:rFonts w:ascii="Open Sans" w:hAnsi="Open Sans"/>
        </w:rPr>
      </w:pPr>
      <w:r>
        <w:rPr>
          <w:rFonts w:ascii="Open Sans" w:hAnsi="Open Sans"/>
        </w:rPr>
        <w:t>E</w:t>
      </w:r>
      <w:r w:rsidR="006542B5" w:rsidRPr="00573055">
        <w:rPr>
          <w:rFonts w:ascii="Open Sans" w:hAnsi="Open Sans"/>
        </w:rPr>
        <w:t>nrolling in a postsecondary program after exiting the adult education program</w:t>
      </w:r>
      <w:r>
        <w:rPr>
          <w:rFonts w:ascii="Open Sans" w:hAnsi="Open Sans"/>
        </w:rPr>
        <w:t>; or</w:t>
      </w:r>
    </w:p>
    <w:p w14:paraId="0970BA13" w14:textId="3B76188E" w:rsidR="00CF226B" w:rsidRPr="00573055" w:rsidRDefault="003B7C68" w:rsidP="00D90CF9">
      <w:pPr>
        <w:pStyle w:val="ListParagraph"/>
        <w:keepLines/>
        <w:numPr>
          <w:ilvl w:val="0"/>
          <w:numId w:val="23"/>
        </w:numPr>
        <w:spacing w:after="120" w:line="240" w:lineRule="auto"/>
        <w:contextualSpacing w:val="0"/>
        <w:rPr>
          <w:rFonts w:ascii="Open Sans" w:hAnsi="Open Sans"/>
        </w:rPr>
      </w:pPr>
      <w:r>
        <w:rPr>
          <w:rFonts w:ascii="Open Sans" w:hAnsi="Open Sans"/>
        </w:rPr>
        <w:t xml:space="preserve">Attaining sufficient progress in an integrated </w:t>
      </w:r>
      <w:r w:rsidR="00F95C5D">
        <w:rPr>
          <w:rFonts w:ascii="Open Sans" w:hAnsi="Open Sans"/>
        </w:rPr>
        <w:t>education and training or workplace literacy program.</w:t>
      </w:r>
    </w:p>
    <w:p w14:paraId="3FC9D6C0" w14:textId="77777777" w:rsidR="006542B5" w:rsidRDefault="006542B5" w:rsidP="00F90B6E">
      <w:pPr>
        <w:keepLines/>
        <w:rPr>
          <w:strike/>
        </w:rPr>
      </w:pPr>
    </w:p>
    <w:p w14:paraId="29AEA69F" w14:textId="4193BBB8" w:rsidR="00F90B6E" w:rsidRDefault="009A6BB8" w:rsidP="00F90B6E">
      <w:pPr>
        <w:keepLines/>
      </w:pPr>
      <w:r>
        <w:t>In addition,</w:t>
      </w:r>
      <w:r w:rsidR="00105B71">
        <w:t xml:space="preserve"> </w:t>
      </w:r>
      <w:r w:rsidR="00DC100F">
        <w:t>g</w:t>
      </w:r>
      <w:r w:rsidR="00715009">
        <w:t>rantees must ensure the Adult Education program design ultimately leads to improving a participant’s “post-exit” performance outcomes</w:t>
      </w:r>
      <w:r w:rsidR="00DC100F">
        <w:t>, as established in WIOA</w:t>
      </w:r>
      <w:r w:rsidR="00715009">
        <w:t xml:space="preserve"> </w:t>
      </w:r>
      <w:r w:rsidR="00FE54F7">
        <w:t xml:space="preserve">(i.e., </w:t>
      </w:r>
      <w:r w:rsidR="00FE54F7" w:rsidRPr="00D12675">
        <w:t>employment</w:t>
      </w:r>
      <w:r w:rsidR="00FE54F7">
        <w:t xml:space="preserve"> status, wages, and credential attainments, postsecondary/training enrollment).</w:t>
      </w:r>
      <w:r w:rsidR="00FE54F7" w:rsidRPr="00D12675">
        <w:t xml:space="preserve"> </w:t>
      </w:r>
    </w:p>
    <w:p w14:paraId="7A2B272A" w14:textId="77777777" w:rsidR="00846540" w:rsidRDefault="00846540" w:rsidP="00F90B6E">
      <w:pPr>
        <w:keepLines/>
      </w:pPr>
    </w:p>
    <w:p w14:paraId="37F2397D" w14:textId="7C3466B3" w:rsidR="00014FFD" w:rsidRDefault="00014FFD" w:rsidP="00014FFD">
      <w:pPr>
        <w:keepLines/>
      </w:pPr>
      <w:r>
        <w:t>Secondary program performance categories</w:t>
      </w:r>
      <w:r w:rsidR="00A030A0">
        <w:t xml:space="preserve"> established by TDLWD</w:t>
      </w:r>
      <w:r>
        <w:t xml:space="preserve"> include workforce development initiatives, digital literacy</w:t>
      </w:r>
      <w:r w:rsidR="00E85E21">
        <w:t>,</w:t>
      </w:r>
      <w:r>
        <w:t xml:space="preserve"> and soft skills</w:t>
      </w:r>
      <w:r w:rsidR="00E85E21">
        <w:t>.</w:t>
      </w:r>
      <w:r>
        <w:t xml:space="preserve"> Grantees are expected to include these activities in their program design and strive toward TDLWD-provided targets in these categories.</w:t>
      </w:r>
    </w:p>
    <w:p w14:paraId="7D5B705A" w14:textId="77777777" w:rsidR="00014FFD" w:rsidRDefault="00014FFD" w:rsidP="00F90B6E">
      <w:pPr>
        <w:keepLines/>
      </w:pPr>
    </w:p>
    <w:p w14:paraId="465B3D14" w14:textId="77777777" w:rsidR="004A04CC" w:rsidRDefault="00690965" w:rsidP="004A04CC">
      <w:pPr>
        <w:keepLines/>
      </w:pPr>
      <w:r>
        <w:t>TDLWD will provide specific performance expectations through guidance and policy.</w:t>
      </w:r>
      <w:r w:rsidR="004A04CC">
        <w:t xml:space="preserve"> When considering performance expectations and outcomes, TDLWD will </w:t>
      </w:r>
      <w:proofErr w:type="gramStart"/>
      <w:r w:rsidR="004A04CC">
        <w:t>take into account</w:t>
      </w:r>
      <w:proofErr w:type="gramEnd"/>
      <w:r w:rsidR="004A04CC">
        <w:t xml:space="preserve"> the degree to which a grantee served students with higher barriers to employment (e.g., English language learners, communities with higher levels of poverty and lower levels of literacy, etc.).</w:t>
      </w:r>
    </w:p>
    <w:p w14:paraId="441F9381" w14:textId="77777777" w:rsidR="004A04CC" w:rsidRDefault="004A04CC" w:rsidP="00B768DF">
      <w:pPr>
        <w:keepLines/>
        <w:rPr>
          <w:highlight w:val="yellow"/>
        </w:rPr>
      </w:pPr>
    </w:p>
    <w:p w14:paraId="294AA066" w14:textId="7F8660AE" w:rsidR="00B768DF" w:rsidRDefault="000B5FFD" w:rsidP="00B768DF">
      <w:pPr>
        <w:keepLines/>
      </w:pPr>
      <w:r w:rsidRPr="0045387A">
        <w:t xml:space="preserve">In general, grantees are expected to </w:t>
      </w:r>
      <w:r w:rsidR="00032CBD" w:rsidRPr="0045387A">
        <w:t xml:space="preserve">enroll </w:t>
      </w:r>
      <w:r w:rsidR="00B768DF" w:rsidRPr="0045387A">
        <w:t>at least 1 participant for every $</w:t>
      </w:r>
      <w:r w:rsidR="00931B00" w:rsidRPr="0045387A">
        <w:t>1,5</w:t>
      </w:r>
      <w:r w:rsidR="00B768DF" w:rsidRPr="0045387A">
        <w:t xml:space="preserve">00 of funding. For example, if a grantee is awarded $300,000, they are expected to </w:t>
      </w:r>
      <w:r w:rsidR="0045387A" w:rsidRPr="0045387A">
        <w:t>enroll</w:t>
      </w:r>
      <w:r w:rsidR="00B768DF" w:rsidRPr="0045387A">
        <w:t xml:space="preserve"> at least </w:t>
      </w:r>
      <w:r w:rsidR="00550511" w:rsidRPr="0045387A">
        <w:t xml:space="preserve">200 </w:t>
      </w:r>
      <w:r w:rsidR="00B768DF" w:rsidRPr="0045387A">
        <w:t>participants</w:t>
      </w:r>
      <w:r w:rsidR="0021112F" w:rsidRPr="0045387A">
        <w:t xml:space="preserve"> in a program year</w:t>
      </w:r>
      <w:r w:rsidR="00B768DF" w:rsidRPr="0045387A">
        <w:t>.</w:t>
      </w:r>
      <w:r w:rsidR="00B768DF" w:rsidRPr="00B768DF">
        <w:t xml:space="preserve"> </w:t>
      </w:r>
    </w:p>
    <w:p w14:paraId="0CA4CD06" w14:textId="77777777" w:rsidR="007C5D97" w:rsidRDefault="007C5D97" w:rsidP="00B768DF">
      <w:pPr>
        <w:keepLines/>
        <w:rPr>
          <w:strike/>
        </w:rPr>
      </w:pPr>
    </w:p>
    <w:p w14:paraId="0BB6578E" w14:textId="15D62DD7" w:rsidR="002761BD" w:rsidRDefault="00741F94" w:rsidP="00B768DF">
      <w:pPr>
        <w:keepLines/>
      </w:pPr>
      <w:r>
        <w:t>In general, grantees are expected to mee</w:t>
      </w:r>
      <w:r w:rsidR="002E0F7E">
        <w:t>t</w:t>
      </w:r>
      <w:r>
        <w:t xml:space="preserve"> the</w:t>
      </w:r>
      <w:r w:rsidR="00907823">
        <w:t xml:space="preserve"> “State-adjusted levels of performance” for the primary indicators of performance id</w:t>
      </w:r>
      <w:r w:rsidR="008A7277">
        <w:t>entified</w:t>
      </w:r>
      <w:r w:rsidR="00C3392D">
        <w:t xml:space="preserve"> in </w:t>
      </w:r>
      <w:r w:rsidR="00AF64B4">
        <w:t>Tennessee’s</w:t>
      </w:r>
      <w:r w:rsidR="00C3392D">
        <w:t xml:space="preserve"> </w:t>
      </w:r>
      <w:r w:rsidR="007876FF">
        <w:t xml:space="preserve">WIOA </w:t>
      </w:r>
      <w:r w:rsidR="004221CB">
        <w:t xml:space="preserve">Combined </w:t>
      </w:r>
      <w:r w:rsidR="00AF64B4">
        <w:t>State Plan</w:t>
      </w:r>
      <w:r w:rsidR="001D3594">
        <w:t xml:space="preserve">, which </w:t>
      </w:r>
      <w:r w:rsidR="00A74504">
        <w:t>are as follows:</w:t>
      </w:r>
    </w:p>
    <w:p w14:paraId="3838CE40" w14:textId="77777777" w:rsidR="0049731A" w:rsidRDefault="0049731A" w:rsidP="00B768DF">
      <w:pPr>
        <w:keepLines/>
      </w:pPr>
    </w:p>
    <w:p w14:paraId="0F39BD2F" w14:textId="77777777" w:rsidR="0049731A" w:rsidRDefault="0049731A" w:rsidP="00B768DF">
      <w:pPr>
        <w:keepLines/>
      </w:pPr>
    </w:p>
    <w:p w14:paraId="61F0E4E1" w14:textId="77777777" w:rsidR="008508D1" w:rsidRDefault="008508D1" w:rsidP="00B768DF">
      <w:pPr>
        <w:keepLines/>
      </w:pPr>
    </w:p>
    <w:p w14:paraId="40861F5E" w14:textId="77777777" w:rsidR="008508D1" w:rsidRDefault="008508D1" w:rsidP="00B768DF">
      <w:pPr>
        <w:keepLines/>
      </w:pPr>
    </w:p>
    <w:p w14:paraId="74A7416D" w14:textId="6A4DCFC9" w:rsidR="00DA385C" w:rsidRPr="00DA385C" w:rsidRDefault="00DA385C" w:rsidP="00DA385C">
      <w:pPr>
        <w:spacing w:after="120"/>
        <w:textAlignment w:val="center"/>
        <w:rPr>
          <w:rFonts w:ascii="Calibri" w:hAnsi="Calibri" w:cs="Calibri"/>
          <w:color w:val="FFFFFF"/>
        </w:rPr>
      </w:pPr>
      <w:r w:rsidRPr="00DA385C">
        <w:rPr>
          <w:b/>
          <w:bCs/>
          <w:color w:val="000000"/>
        </w:rPr>
        <w:lastRenderedPageBreak/>
        <w:t>MSG</w:t>
      </w:r>
      <w:r w:rsidRPr="00DA385C">
        <w:rPr>
          <w:color w:val="000000"/>
        </w:rPr>
        <w:t xml:space="preserve"> – </w:t>
      </w:r>
      <w:r w:rsidRPr="00DA385C">
        <w:rPr>
          <w:b/>
          <w:bCs/>
          <w:color w:val="000000"/>
        </w:rPr>
        <w:t>40%</w:t>
      </w:r>
      <w:r w:rsidRPr="00DA385C">
        <w:rPr>
          <w:color w:val="000000"/>
        </w:rPr>
        <w:t xml:space="preserve"> (i.e., </w:t>
      </w:r>
      <w:r w:rsidR="009D4CA2">
        <w:rPr>
          <w:color w:val="000000"/>
        </w:rPr>
        <w:t>40</w:t>
      </w:r>
      <w:r w:rsidRPr="00DA385C">
        <w:rPr>
          <w:color w:val="000000"/>
        </w:rPr>
        <w:t xml:space="preserve">% of program participants </w:t>
      </w:r>
      <w:r w:rsidR="003D49BD">
        <w:rPr>
          <w:color w:val="000000"/>
        </w:rPr>
        <w:t xml:space="preserve">achieve an MSG </w:t>
      </w:r>
      <w:r w:rsidRPr="00DA385C">
        <w:rPr>
          <w:color w:val="000000"/>
        </w:rPr>
        <w:t>during the year).</w:t>
      </w:r>
    </w:p>
    <w:p w14:paraId="61FCA5FE" w14:textId="77777777" w:rsidR="00DA385C" w:rsidRPr="00DA385C" w:rsidRDefault="00DA385C" w:rsidP="00DA385C">
      <w:pPr>
        <w:spacing w:after="120"/>
        <w:textAlignment w:val="center"/>
        <w:rPr>
          <w:rFonts w:ascii="Calibri" w:hAnsi="Calibri" w:cs="Calibri"/>
          <w:color w:val="FFFFFF"/>
        </w:rPr>
      </w:pPr>
      <w:r w:rsidRPr="00DA385C">
        <w:rPr>
          <w:b/>
          <w:bCs/>
          <w:color w:val="000000"/>
        </w:rPr>
        <w:t>Employment 2</w:t>
      </w:r>
      <w:r w:rsidRPr="00DA385C">
        <w:rPr>
          <w:b/>
          <w:bCs/>
          <w:color w:val="000000"/>
          <w:vertAlign w:val="superscript"/>
        </w:rPr>
        <w:t>nd</w:t>
      </w:r>
      <w:r w:rsidRPr="00DA385C">
        <w:rPr>
          <w:b/>
          <w:bCs/>
          <w:color w:val="000000"/>
        </w:rPr>
        <w:t xml:space="preserve"> Quarter After Exit – 49.5% </w:t>
      </w:r>
      <w:r w:rsidRPr="00DA385C">
        <w:rPr>
          <w:color w:val="000000"/>
        </w:rPr>
        <w:t>(i.e., percentage of exited participants who are employed in the 2</w:t>
      </w:r>
      <w:r w:rsidRPr="00DA385C">
        <w:rPr>
          <w:color w:val="000000"/>
          <w:vertAlign w:val="superscript"/>
        </w:rPr>
        <w:t>nd</w:t>
      </w:r>
      <w:r w:rsidRPr="00DA385C">
        <w:rPr>
          <w:color w:val="000000"/>
        </w:rPr>
        <w:t xml:space="preserve"> quarter after their exit quarter)</w:t>
      </w:r>
    </w:p>
    <w:p w14:paraId="3478E8AD" w14:textId="77777777" w:rsidR="00DA385C" w:rsidRPr="00DA385C" w:rsidRDefault="00DA385C" w:rsidP="00DA385C">
      <w:pPr>
        <w:spacing w:after="120"/>
        <w:textAlignment w:val="center"/>
        <w:rPr>
          <w:rFonts w:ascii="Calibri" w:hAnsi="Calibri" w:cs="Calibri"/>
          <w:color w:val="FFFFFF"/>
        </w:rPr>
      </w:pPr>
      <w:r w:rsidRPr="00DA385C">
        <w:rPr>
          <w:b/>
          <w:bCs/>
          <w:color w:val="000000"/>
        </w:rPr>
        <w:t>Employment 4</w:t>
      </w:r>
      <w:r w:rsidRPr="00DA385C">
        <w:rPr>
          <w:b/>
          <w:bCs/>
          <w:color w:val="000000"/>
          <w:vertAlign w:val="superscript"/>
        </w:rPr>
        <w:t>th</w:t>
      </w:r>
      <w:r w:rsidRPr="00DA385C">
        <w:rPr>
          <w:b/>
          <w:bCs/>
          <w:color w:val="000000"/>
        </w:rPr>
        <w:t xml:space="preserve"> Quarter After Exit – 49.8% </w:t>
      </w:r>
      <w:r w:rsidRPr="00DA385C">
        <w:rPr>
          <w:color w:val="000000"/>
        </w:rPr>
        <w:t>(i.e., percentage of exited participants who are employed in the 4</w:t>
      </w:r>
      <w:r w:rsidRPr="00DA385C">
        <w:rPr>
          <w:color w:val="000000"/>
          <w:vertAlign w:val="superscript"/>
        </w:rPr>
        <w:t>th</w:t>
      </w:r>
      <w:r w:rsidRPr="00DA385C">
        <w:rPr>
          <w:color w:val="000000"/>
        </w:rPr>
        <w:t xml:space="preserve"> quarter after their exit quarter)</w:t>
      </w:r>
    </w:p>
    <w:p w14:paraId="1D8301CD" w14:textId="77777777" w:rsidR="00DA385C" w:rsidRPr="00DA385C" w:rsidRDefault="00DA385C" w:rsidP="00DA385C">
      <w:pPr>
        <w:spacing w:after="120"/>
        <w:textAlignment w:val="center"/>
        <w:rPr>
          <w:rFonts w:ascii="Calibri" w:hAnsi="Calibri" w:cs="Calibri"/>
          <w:color w:val="FFFFFF"/>
        </w:rPr>
      </w:pPr>
      <w:r w:rsidRPr="00DA385C">
        <w:rPr>
          <w:b/>
          <w:bCs/>
          <w:color w:val="000000"/>
        </w:rPr>
        <w:t>Median Wages 2</w:t>
      </w:r>
      <w:r w:rsidRPr="00DA385C">
        <w:rPr>
          <w:b/>
          <w:bCs/>
          <w:color w:val="000000"/>
          <w:vertAlign w:val="superscript"/>
        </w:rPr>
        <w:t>nd</w:t>
      </w:r>
      <w:r w:rsidRPr="00DA385C">
        <w:rPr>
          <w:b/>
          <w:bCs/>
          <w:color w:val="000000"/>
        </w:rPr>
        <w:t xml:space="preserve"> Quarter After Exit – $3,930 </w:t>
      </w:r>
      <w:r w:rsidRPr="00DA385C">
        <w:rPr>
          <w:color w:val="000000"/>
        </w:rPr>
        <w:t>(i.e., median quarterly wages of all exited, employed participants, measured in the 2</w:t>
      </w:r>
      <w:r w:rsidRPr="00DA385C">
        <w:rPr>
          <w:color w:val="000000"/>
          <w:vertAlign w:val="superscript"/>
        </w:rPr>
        <w:t>nd</w:t>
      </w:r>
      <w:r w:rsidRPr="00DA385C">
        <w:rPr>
          <w:color w:val="000000"/>
        </w:rPr>
        <w:t xml:space="preserve"> quarter after their exit quarter)</w:t>
      </w:r>
    </w:p>
    <w:p w14:paraId="72FEF381" w14:textId="31902829" w:rsidR="002A3EF1" w:rsidRPr="0018217E" w:rsidRDefault="00DA385C" w:rsidP="0018217E">
      <w:pPr>
        <w:textAlignment w:val="center"/>
        <w:rPr>
          <w:rFonts w:ascii="Calibri" w:hAnsi="Calibri" w:cs="Calibri"/>
          <w:color w:val="FFFFFF"/>
        </w:rPr>
      </w:pPr>
      <w:r w:rsidRPr="00DA385C">
        <w:rPr>
          <w:b/>
          <w:bCs/>
          <w:color w:val="000000"/>
        </w:rPr>
        <w:t xml:space="preserve">Credential Attainment Rate – 41.5% </w:t>
      </w:r>
      <w:r w:rsidRPr="00DA385C">
        <w:rPr>
          <w:color w:val="000000"/>
        </w:rPr>
        <w:t>(i.e., percentage of exited participants who attain either a secondary school diploma or a recognized postsecondary credential within one year of exiting)</w:t>
      </w:r>
      <w:r w:rsidR="007D4212">
        <w:rPr>
          <w:color w:val="000000"/>
        </w:rPr>
        <w:t>.</w:t>
      </w:r>
      <w:r w:rsidR="000D35DA">
        <w:rPr>
          <w:rStyle w:val="FootnoteReference"/>
          <w:color w:val="000000"/>
        </w:rPr>
        <w:footnoteReference w:id="15"/>
      </w:r>
      <w:r w:rsidR="000D35DA" w:rsidRPr="00DA385C">
        <w:rPr>
          <w:rFonts w:ascii="Calibri" w:hAnsi="Calibri" w:cs="Calibri"/>
          <w:color w:val="FFFFFF"/>
        </w:rPr>
        <w:t xml:space="preserve"> </w:t>
      </w:r>
    </w:p>
    <w:p w14:paraId="71E012DE" w14:textId="5B8CA19C" w:rsidR="002A3EF1" w:rsidRDefault="002A3EF1" w:rsidP="00846540">
      <w:pPr>
        <w:keepLines/>
      </w:pPr>
    </w:p>
    <w:p w14:paraId="3379C805" w14:textId="02437B5B" w:rsidR="001C4264" w:rsidRDefault="001C4264" w:rsidP="00846540">
      <w:pPr>
        <w:keepLines/>
        <w:sectPr w:rsidR="001C4264" w:rsidSect="00993FB4">
          <w:headerReference w:type="default" r:id="rId28"/>
          <w:headerReference w:type="first" r:id="rId29"/>
          <w:pgSz w:w="12240" w:h="15840"/>
          <w:pgMar w:top="1440" w:right="1440" w:bottom="1440" w:left="1440" w:header="720" w:footer="720" w:gutter="0"/>
          <w:cols w:space="720"/>
          <w:docGrid w:linePitch="360"/>
        </w:sectPr>
      </w:pPr>
    </w:p>
    <w:p w14:paraId="458A6F9B" w14:textId="5F583805" w:rsidR="00800713" w:rsidRPr="00EE7081" w:rsidRDefault="00800713" w:rsidP="00800713">
      <w:pPr>
        <w:pStyle w:val="Heading1"/>
        <w:keepNext w:val="0"/>
        <w:keepLines/>
        <w:rPr>
          <w:rFonts w:ascii="Open Sans" w:hAnsi="Open Sans"/>
        </w:rPr>
      </w:pPr>
      <w:bookmarkStart w:id="19" w:name="_Toc128579613"/>
      <w:r w:rsidRPr="00EE7081">
        <w:rPr>
          <w:rFonts w:ascii="Open Sans" w:hAnsi="Open Sans"/>
        </w:rPr>
        <w:lastRenderedPageBreak/>
        <w:t xml:space="preserve">Section </w:t>
      </w:r>
      <w:r w:rsidR="005838B4">
        <w:rPr>
          <w:rFonts w:ascii="Open Sans" w:hAnsi="Open Sans"/>
        </w:rPr>
        <w:t>4</w:t>
      </w:r>
      <w:r w:rsidRPr="00EE7081">
        <w:rPr>
          <w:rFonts w:ascii="Open Sans" w:hAnsi="Open Sans"/>
        </w:rPr>
        <w:t xml:space="preserve"> </w:t>
      </w:r>
      <w:r>
        <w:rPr>
          <w:rFonts w:ascii="Open Sans" w:hAnsi="Open Sans"/>
        </w:rPr>
        <w:t>– Administration REQUIREMENTS</w:t>
      </w:r>
      <w:bookmarkEnd w:id="19"/>
    </w:p>
    <w:p w14:paraId="2446A73C" w14:textId="77777777" w:rsidR="00800713" w:rsidRDefault="00800713" w:rsidP="0063742F">
      <w:pPr>
        <w:pStyle w:val="Heading3"/>
        <w:keepLines/>
      </w:pPr>
    </w:p>
    <w:p w14:paraId="56AE0C36" w14:textId="57A798DB" w:rsidR="008609F3" w:rsidRDefault="008609F3" w:rsidP="008D4453">
      <w:pPr>
        <w:pStyle w:val="Pa9"/>
        <w:keepLines/>
        <w:contextualSpacing/>
      </w:pPr>
      <w:bookmarkStart w:id="20" w:name="_Toc30575339"/>
      <w:r w:rsidRPr="00EE7081">
        <w:rPr>
          <w:rStyle w:val="BookTitle"/>
          <w:rFonts w:ascii="Open Sans" w:hAnsi="Open Sans"/>
          <w:b w:val="0"/>
          <w:bCs w:val="0"/>
          <w:smallCaps w:val="0"/>
          <w:spacing w:val="0"/>
        </w:rPr>
        <w:t xml:space="preserve">This section details the </w:t>
      </w:r>
      <w:r>
        <w:rPr>
          <w:rStyle w:val="BookTitle"/>
          <w:rFonts w:ascii="Open Sans" w:hAnsi="Open Sans"/>
          <w:b w:val="0"/>
          <w:bCs w:val="0"/>
          <w:smallCaps w:val="0"/>
          <w:spacing w:val="0"/>
        </w:rPr>
        <w:t>basic</w:t>
      </w:r>
      <w:r w:rsidRPr="00EE7081">
        <w:rPr>
          <w:rStyle w:val="BookTitle"/>
          <w:rFonts w:ascii="Open Sans" w:hAnsi="Open Sans"/>
          <w:b w:val="0"/>
          <w:bCs w:val="0"/>
          <w:smallCaps w:val="0"/>
          <w:spacing w:val="0"/>
        </w:rPr>
        <w:t xml:space="preserve"> requirements of </w:t>
      </w:r>
      <w:r>
        <w:rPr>
          <w:rStyle w:val="BookTitle"/>
          <w:rFonts w:ascii="Open Sans" w:hAnsi="Open Sans"/>
          <w:b w:val="0"/>
          <w:bCs w:val="0"/>
          <w:smallCaps w:val="0"/>
          <w:spacing w:val="0"/>
        </w:rPr>
        <w:t xml:space="preserve">the grant’s </w:t>
      </w:r>
      <w:r w:rsidR="004A5ECF">
        <w:rPr>
          <w:rStyle w:val="BookTitle"/>
          <w:rFonts w:ascii="Open Sans" w:hAnsi="Open Sans"/>
          <w:b w:val="0"/>
          <w:bCs w:val="0"/>
          <w:smallCaps w:val="0"/>
          <w:spacing w:val="0"/>
        </w:rPr>
        <w:t xml:space="preserve">administration </w:t>
      </w:r>
      <w:r>
        <w:rPr>
          <w:rStyle w:val="BookTitle"/>
          <w:rFonts w:ascii="Open Sans" w:hAnsi="Open Sans"/>
          <w:b w:val="0"/>
          <w:bCs w:val="0"/>
          <w:smallCaps w:val="0"/>
          <w:spacing w:val="0"/>
        </w:rPr>
        <w:t xml:space="preserve">components. TDLWD will </w:t>
      </w:r>
      <w:r w:rsidRPr="00EE7081">
        <w:rPr>
          <w:rStyle w:val="BookTitle"/>
          <w:rFonts w:ascii="Open Sans" w:hAnsi="Open Sans"/>
          <w:b w:val="0"/>
          <w:bCs w:val="0"/>
          <w:smallCaps w:val="0"/>
          <w:spacing w:val="0"/>
        </w:rPr>
        <w:t>provide grantees with policies and guidance that further detail these requirements.</w:t>
      </w:r>
    </w:p>
    <w:p w14:paraId="0DF6F8A8" w14:textId="77777777" w:rsidR="008609F3" w:rsidRDefault="008609F3" w:rsidP="00F71E24">
      <w:pPr>
        <w:pStyle w:val="Heading2"/>
      </w:pPr>
    </w:p>
    <w:p w14:paraId="3A578833" w14:textId="346B2854" w:rsidR="0063742F" w:rsidRDefault="0063742F" w:rsidP="00F71E24">
      <w:pPr>
        <w:pStyle w:val="Heading2"/>
      </w:pPr>
      <w:bookmarkStart w:id="21" w:name="_Toc128579614"/>
      <w:r w:rsidRPr="00EE7081">
        <w:t>Fiscal Management</w:t>
      </w:r>
      <w:bookmarkEnd w:id="20"/>
      <w:bookmarkEnd w:id="21"/>
    </w:p>
    <w:p w14:paraId="4B10E10C" w14:textId="77777777" w:rsidR="0063742F" w:rsidRPr="00EA0734" w:rsidRDefault="0063742F" w:rsidP="0063742F">
      <w:pPr>
        <w:keepLines/>
      </w:pPr>
    </w:p>
    <w:p w14:paraId="7B360358" w14:textId="4A36F3FB" w:rsidR="00AB1060" w:rsidRDefault="0063742F" w:rsidP="0063742F">
      <w:pPr>
        <w:keepLines/>
        <w:contextualSpacing/>
      </w:pPr>
      <w:r w:rsidRPr="00EE7081">
        <w:t>All grantees must abide by</w:t>
      </w:r>
      <w:r w:rsidR="00AE73B0">
        <w:t xml:space="preserve"> the</w:t>
      </w:r>
      <w:r w:rsidRPr="00EE7081">
        <w:t xml:space="preserve"> cost principles found in</w:t>
      </w:r>
      <w:r>
        <w:t xml:space="preserve"> the</w:t>
      </w:r>
      <w:r w:rsidR="00AE73B0">
        <w:t xml:space="preserve"> </w:t>
      </w:r>
      <w:r w:rsidR="00AE73B0" w:rsidRPr="00FC2EAB">
        <w:t xml:space="preserve">Uniform Administrative Requirements, Cost Principles, and Audit Requirements for Federal Awards (also known as </w:t>
      </w:r>
      <w:r w:rsidR="00AE73B0">
        <w:t xml:space="preserve">the </w:t>
      </w:r>
      <w:r w:rsidR="00AE73B0" w:rsidRPr="00FC2EAB">
        <w:t>“Uniform Guidance”</w:t>
      </w:r>
      <w:r w:rsidR="00076AC6">
        <w:t>)</w:t>
      </w:r>
      <w:r w:rsidR="00B55725">
        <w:t xml:space="preserve">: </w:t>
      </w:r>
      <w:hyperlink r:id="rId30" w:history="1">
        <w:r w:rsidR="00C81543">
          <w:rPr>
            <w:rStyle w:val="Hyperlink"/>
            <w:b/>
            <w:bCs/>
          </w:rPr>
          <w:t>S</w:t>
        </w:r>
        <w:r w:rsidRPr="00EE67D4">
          <w:rPr>
            <w:rStyle w:val="Hyperlink"/>
            <w:b/>
            <w:bCs/>
          </w:rPr>
          <w:t>ee</w:t>
        </w:r>
        <w:r w:rsidRPr="00EE67D4">
          <w:rPr>
            <w:rStyle w:val="Hyperlink"/>
          </w:rPr>
          <w:t xml:space="preserve"> </w:t>
        </w:r>
        <w:r w:rsidRPr="00EE67D4">
          <w:rPr>
            <w:rStyle w:val="Hyperlink"/>
            <w:b/>
            <w:bCs/>
          </w:rPr>
          <w:t>2 CFR 200 Subpart E</w:t>
        </w:r>
      </w:hyperlink>
      <w:r w:rsidRPr="00EE7081">
        <w:t>. Grantees will receive funds to operate the grant</w:t>
      </w:r>
      <w:r w:rsidR="00FD312D">
        <w:t xml:space="preserve"> via </w:t>
      </w:r>
      <w:r w:rsidR="00887FBC">
        <w:t xml:space="preserve">monthly </w:t>
      </w:r>
      <w:r w:rsidR="00FD312D">
        <w:t>cost reimbursement</w:t>
      </w:r>
      <w:r w:rsidR="00C425B7">
        <w:t xml:space="preserve"> from TDLWD</w:t>
      </w:r>
      <w:r w:rsidR="00AF66C2">
        <w:t xml:space="preserve">; </w:t>
      </w:r>
      <w:r w:rsidR="0082686C">
        <w:t xml:space="preserve">each month, </w:t>
      </w:r>
      <w:r w:rsidR="00AF66C2">
        <w:t xml:space="preserve">grantees </w:t>
      </w:r>
      <w:r w:rsidR="00C71F34">
        <w:t xml:space="preserve">will submit </w:t>
      </w:r>
      <w:r w:rsidR="000C3A2D">
        <w:t xml:space="preserve">expenditure reports and </w:t>
      </w:r>
      <w:r w:rsidR="00C35F22">
        <w:t>invoices to TDLWD</w:t>
      </w:r>
      <w:r w:rsidR="0082686C">
        <w:t xml:space="preserve">, </w:t>
      </w:r>
      <w:r w:rsidR="00F40B61">
        <w:t>which TDLWD will review and then process payments</w:t>
      </w:r>
      <w:r w:rsidR="00887FBC">
        <w:t xml:space="preserve">. In addition, grantees will submit </w:t>
      </w:r>
      <w:r w:rsidR="00E97664">
        <w:t xml:space="preserve">general ledger reports and may be </w:t>
      </w:r>
      <w:r w:rsidR="003D77A2">
        <w:t>required to submi</w:t>
      </w:r>
      <w:r w:rsidR="00545207">
        <w:t>t</w:t>
      </w:r>
      <w:r w:rsidR="00E9775E">
        <w:t xml:space="preserve"> </w:t>
      </w:r>
      <w:r w:rsidR="00AC4684">
        <w:t xml:space="preserve">documentation </w:t>
      </w:r>
      <w:r w:rsidR="00D11AC1">
        <w:t>to verify</w:t>
      </w:r>
      <w:r w:rsidR="00AC4684">
        <w:t xml:space="preserve"> </w:t>
      </w:r>
      <w:r w:rsidR="00746EB9">
        <w:t>expens</w:t>
      </w:r>
      <w:r w:rsidR="00660AE9">
        <w:t>es.</w:t>
      </w:r>
    </w:p>
    <w:p w14:paraId="1205CF14" w14:textId="77777777" w:rsidR="00C23F87" w:rsidRDefault="00C23F87" w:rsidP="0063742F">
      <w:pPr>
        <w:keepLines/>
        <w:contextualSpacing/>
      </w:pPr>
    </w:p>
    <w:p w14:paraId="251042AE" w14:textId="777220FB" w:rsidR="00C23F87" w:rsidRDefault="00C23F87" w:rsidP="0063742F">
      <w:pPr>
        <w:keepLines/>
        <w:contextualSpacing/>
      </w:pPr>
      <w:r w:rsidRPr="00EE7081">
        <w:t xml:space="preserve">Grantees must record and </w:t>
      </w:r>
      <w:r>
        <w:t xml:space="preserve">submit fiscal </w:t>
      </w:r>
      <w:r w:rsidR="001E6235">
        <w:t>reports and documents via</w:t>
      </w:r>
      <w:r w:rsidRPr="00EE7081">
        <w:t xml:space="preserve"> the </w:t>
      </w:r>
      <w:r>
        <w:t xml:space="preserve">TDLWD </w:t>
      </w:r>
      <w:r w:rsidR="001E6235">
        <w:t>grants</w:t>
      </w:r>
      <w:r>
        <w:t xml:space="preserve"> </w:t>
      </w:r>
      <w:r w:rsidR="001E6235">
        <w:t>management</w:t>
      </w:r>
      <w:r>
        <w:t xml:space="preserve"> system (currently </w:t>
      </w:r>
      <w:r w:rsidR="001E6235">
        <w:rPr>
          <w:i/>
          <w:iCs/>
        </w:rPr>
        <w:t>SmartSimple</w:t>
      </w:r>
      <w:r>
        <w:t>)</w:t>
      </w:r>
      <w:r w:rsidRPr="00EE7081">
        <w:t xml:space="preserve"> and adhere to the </w:t>
      </w:r>
      <w:r w:rsidR="00D621AF">
        <w:t>fiscal management</w:t>
      </w:r>
      <w:r w:rsidRPr="00EE7081">
        <w:t xml:space="preserve"> requirements established by </w:t>
      </w:r>
      <w:r>
        <w:t>TDLWD</w:t>
      </w:r>
      <w:r w:rsidRPr="00EE7081">
        <w:t>.</w:t>
      </w:r>
      <w:r w:rsidR="00D621AF">
        <w:t xml:space="preserve"> </w:t>
      </w:r>
      <w:r w:rsidR="00B12731">
        <w:t xml:space="preserve">TDLWD will </w:t>
      </w:r>
      <w:r w:rsidR="00B1186E">
        <w:t xml:space="preserve">assist grantees in </w:t>
      </w:r>
      <w:r w:rsidR="00CE3113">
        <w:t>getting</w:t>
      </w:r>
      <w:r w:rsidR="00A803F2">
        <w:t xml:space="preserve"> </w:t>
      </w:r>
      <w:r w:rsidR="00A803F2">
        <w:rPr>
          <w:i/>
          <w:iCs/>
        </w:rPr>
        <w:t>Smar</w:t>
      </w:r>
      <w:r w:rsidR="00C57C86">
        <w:rPr>
          <w:i/>
          <w:iCs/>
        </w:rPr>
        <w:t>tSimple</w:t>
      </w:r>
      <w:r w:rsidR="00CE3113">
        <w:t xml:space="preserve"> access and training </w:t>
      </w:r>
      <w:r w:rsidR="002A0D4D">
        <w:t xml:space="preserve">as part of the initial onboarding process after grants are awarded. </w:t>
      </w:r>
    </w:p>
    <w:p w14:paraId="385A7C9B" w14:textId="77777777" w:rsidR="00AB1060" w:rsidRDefault="00AB1060" w:rsidP="0063742F">
      <w:pPr>
        <w:keepLines/>
        <w:contextualSpacing/>
      </w:pPr>
    </w:p>
    <w:p w14:paraId="61965F00" w14:textId="5540F14D" w:rsidR="0063742F" w:rsidRPr="00EE7081" w:rsidRDefault="00C14B93" w:rsidP="0063742F">
      <w:pPr>
        <w:keepLines/>
        <w:contextualSpacing/>
        <w:rPr>
          <w:color w:val="000000"/>
        </w:rPr>
      </w:pPr>
      <w:r>
        <w:rPr>
          <w:color w:val="000000"/>
        </w:rPr>
        <w:t xml:space="preserve">TDLWD will conduct </w:t>
      </w:r>
      <w:r w:rsidR="0015110E">
        <w:rPr>
          <w:color w:val="000000"/>
        </w:rPr>
        <w:t xml:space="preserve">analyses of </w:t>
      </w:r>
      <w:r w:rsidR="00073DA0">
        <w:rPr>
          <w:color w:val="000000"/>
        </w:rPr>
        <w:t xml:space="preserve">grant </w:t>
      </w:r>
      <w:r w:rsidR="0015110E">
        <w:rPr>
          <w:color w:val="000000"/>
        </w:rPr>
        <w:t xml:space="preserve">funds expended at certain points throughout each program year. TDLWD may de-obligate </w:t>
      </w:r>
      <w:r w:rsidR="00594DD0">
        <w:rPr>
          <w:color w:val="000000"/>
        </w:rPr>
        <w:t xml:space="preserve">excess </w:t>
      </w:r>
      <w:r w:rsidR="0015110E">
        <w:rPr>
          <w:color w:val="000000"/>
        </w:rPr>
        <w:t>funds from grantees who are</w:t>
      </w:r>
      <w:r w:rsidR="00594DD0">
        <w:rPr>
          <w:color w:val="000000"/>
        </w:rPr>
        <w:t xml:space="preserve"> not on track to </w:t>
      </w:r>
      <w:r w:rsidR="00D57D0B">
        <w:rPr>
          <w:color w:val="000000"/>
        </w:rPr>
        <w:t xml:space="preserve">spend </w:t>
      </w:r>
      <w:r w:rsidR="00CA60BC">
        <w:rPr>
          <w:color w:val="000000"/>
        </w:rPr>
        <w:t xml:space="preserve">all </w:t>
      </w:r>
      <w:r w:rsidR="00EC32D6">
        <w:rPr>
          <w:color w:val="000000"/>
        </w:rPr>
        <w:t>their funds before a contract period ends.</w:t>
      </w:r>
      <w:r w:rsidR="0015110E">
        <w:rPr>
          <w:color w:val="000000"/>
        </w:rPr>
        <w:t xml:space="preserve"> </w:t>
      </w:r>
      <w:r w:rsidR="0063742F" w:rsidRPr="00EE7081">
        <w:rPr>
          <w:color w:val="000000"/>
        </w:rPr>
        <w:t xml:space="preserve">At the end of each contract </w:t>
      </w:r>
      <w:r w:rsidR="00EC32D6">
        <w:rPr>
          <w:color w:val="000000"/>
        </w:rPr>
        <w:t xml:space="preserve">period, </w:t>
      </w:r>
      <w:r w:rsidR="0063742F" w:rsidRPr="00EE7081">
        <w:rPr>
          <w:color w:val="000000"/>
        </w:rPr>
        <w:t xml:space="preserve">any unused </w:t>
      </w:r>
      <w:r w:rsidR="0035678B">
        <w:rPr>
          <w:color w:val="000000"/>
        </w:rPr>
        <w:t>grant</w:t>
      </w:r>
      <w:r w:rsidR="004F4D6E">
        <w:rPr>
          <w:color w:val="000000"/>
        </w:rPr>
        <w:t xml:space="preserve"> </w:t>
      </w:r>
      <w:r w:rsidR="0063742F" w:rsidRPr="00EE7081">
        <w:rPr>
          <w:color w:val="000000"/>
        </w:rPr>
        <w:t xml:space="preserve">funds will be reverted to </w:t>
      </w:r>
      <w:r w:rsidR="004F4D6E">
        <w:rPr>
          <w:color w:val="000000"/>
        </w:rPr>
        <w:t>TDLWD</w:t>
      </w:r>
      <w:r w:rsidR="0063742F" w:rsidRPr="00EE7081">
        <w:rPr>
          <w:color w:val="000000"/>
        </w:rPr>
        <w:t xml:space="preserve">. </w:t>
      </w:r>
      <w:r w:rsidR="004F4D6E">
        <w:rPr>
          <w:color w:val="000000"/>
        </w:rPr>
        <w:t>TDLWD</w:t>
      </w:r>
      <w:r w:rsidR="0063742F" w:rsidRPr="00EE7081">
        <w:rPr>
          <w:color w:val="000000"/>
        </w:rPr>
        <w:t xml:space="preserve"> will award new funds to grantees with each subsequent contract (beginning July 1). If additional funds are needed during the year to successfully operate the grant, grantees may submit a proposal to </w:t>
      </w:r>
      <w:r w:rsidR="00CD26F1">
        <w:rPr>
          <w:color w:val="000000"/>
        </w:rPr>
        <w:t xml:space="preserve">TDLWD </w:t>
      </w:r>
      <w:r w:rsidR="0063742F" w:rsidRPr="00EE7081">
        <w:rPr>
          <w:color w:val="000000"/>
        </w:rPr>
        <w:t>for a contract amendm</w:t>
      </w:r>
      <w:r w:rsidR="00E44FEC">
        <w:rPr>
          <w:color w:val="000000"/>
        </w:rPr>
        <w:t>ent</w:t>
      </w:r>
      <w:r w:rsidR="0063742F" w:rsidRPr="00EE7081">
        <w:rPr>
          <w:color w:val="000000"/>
        </w:rPr>
        <w:t>. Only requests that are deemed necessary and reasonable will be considered, pending the availability of funds.</w:t>
      </w:r>
    </w:p>
    <w:p w14:paraId="60C77471" w14:textId="77777777" w:rsidR="0063742F" w:rsidRPr="00EE7081" w:rsidRDefault="0063742F" w:rsidP="0063742F">
      <w:pPr>
        <w:keepLines/>
      </w:pPr>
    </w:p>
    <w:p w14:paraId="5ECAED0A" w14:textId="77777777" w:rsidR="0063742F" w:rsidRPr="00EE7081" w:rsidRDefault="0063742F" w:rsidP="0063742F">
      <w:pPr>
        <w:pStyle w:val="Heading3"/>
        <w:keepLines/>
      </w:pPr>
      <w:r w:rsidRPr="00EE7081">
        <w:t>Allowable Costs</w:t>
      </w:r>
    </w:p>
    <w:p w14:paraId="5046D4E3" w14:textId="77777777" w:rsidR="000B50A3" w:rsidRDefault="000B50A3" w:rsidP="0063742F">
      <w:pPr>
        <w:keepLines/>
        <w:pBdr>
          <w:top w:val="nil"/>
          <w:left w:val="nil"/>
          <w:bottom w:val="nil"/>
          <w:right w:val="nil"/>
          <w:between w:val="nil"/>
        </w:pBdr>
        <w:shd w:val="clear" w:color="auto" w:fill="FFFFFF"/>
        <w:rPr>
          <w:rFonts w:eastAsia="Open Sans"/>
        </w:rPr>
      </w:pPr>
    </w:p>
    <w:p w14:paraId="5E13DC6B" w14:textId="77777777" w:rsidR="006F72EE" w:rsidRDefault="0063742F" w:rsidP="0063742F">
      <w:pPr>
        <w:keepLines/>
        <w:pBdr>
          <w:top w:val="nil"/>
          <w:left w:val="nil"/>
          <w:bottom w:val="nil"/>
          <w:right w:val="nil"/>
          <w:between w:val="nil"/>
        </w:pBdr>
        <w:shd w:val="clear" w:color="auto" w:fill="FFFFFF"/>
        <w:rPr>
          <w:rFonts w:eastAsia="Open Sans"/>
        </w:rPr>
      </w:pPr>
      <w:r w:rsidRPr="00EE7081">
        <w:rPr>
          <w:rFonts w:eastAsia="Open Sans"/>
        </w:rPr>
        <w:t xml:space="preserve">Costs associated with </w:t>
      </w:r>
      <w:r>
        <w:rPr>
          <w:rFonts w:eastAsia="Open Sans"/>
        </w:rPr>
        <w:t xml:space="preserve">AEFLA </w:t>
      </w:r>
      <w:r w:rsidRPr="00EE7081">
        <w:rPr>
          <w:rFonts w:eastAsia="Open Sans"/>
        </w:rPr>
        <w:t>grant funds must be “necessary and reasonable for the performance of the Federal award and be allocable thereto.”</w:t>
      </w:r>
      <w:r w:rsidRPr="00EE7081">
        <w:rPr>
          <w:rFonts w:eastAsia="Open Sans"/>
          <w:vertAlign w:val="superscript"/>
        </w:rPr>
        <w:footnoteReference w:id="16"/>
      </w:r>
      <w:r w:rsidRPr="00EE7081">
        <w:rPr>
          <w:rFonts w:eastAsia="Open Sans"/>
        </w:rPr>
        <w:t xml:space="preserve"> “A cost is reasonable if, in its nature and amount, it does not exceed that which would be incurred by a prudent person under the circumstances prevailing at the time the decision was made to incur the cost.”</w:t>
      </w:r>
      <w:r w:rsidRPr="00EE7081">
        <w:rPr>
          <w:rFonts w:eastAsia="Open Sans"/>
          <w:vertAlign w:val="superscript"/>
        </w:rPr>
        <w:footnoteReference w:id="17"/>
      </w:r>
      <w:r w:rsidRPr="00EE7081">
        <w:rPr>
          <w:rFonts w:eastAsia="Open Sans"/>
        </w:rPr>
        <w:t xml:space="preserve"> </w:t>
      </w:r>
    </w:p>
    <w:p w14:paraId="22B5B3AC" w14:textId="2D959222" w:rsidR="0063742F" w:rsidRPr="00EE7081" w:rsidRDefault="0063742F" w:rsidP="0063742F">
      <w:pPr>
        <w:keepLines/>
        <w:pBdr>
          <w:top w:val="nil"/>
          <w:left w:val="nil"/>
          <w:bottom w:val="nil"/>
          <w:right w:val="nil"/>
          <w:between w:val="nil"/>
        </w:pBdr>
        <w:shd w:val="clear" w:color="auto" w:fill="FFFFFF"/>
        <w:rPr>
          <w:rFonts w:eastAsia="Open Sans"/>
        </w:rPr>
      </w:pPr>
      <w:r w:rsidRPr="00EE7081">
        <w:rPr>
          <w:rFonts w:eastAsia="Open Sans"/>
        </w:rPr>
        <w:lastRenderedPageBreak/>
        <w:t>“A cost is allocable to a particular Federal award or other cost objective if the goods or services involved are chargeable or assignable to that Federal award or cost objective in accordance with relative benefits received.”</w:t>
      </w:r>
      <w:r w:rsidRPr="00EE7081">
        <w:rPr>
          <w:rFonts w:eastAsia="Open Sans"/>
          <w:vertAlign w:val="superscript"/>
        </w:rPr>
        <w:footnoteReference w:id="18"/>
      </w:r>
      <w:r w:rsidRPr="00EE7081">
        <w:rPr>
          <w:rFonts w:eastAsia="Open Sans"/>
        </w:rPr>
        <w:t xml:space="preserve"> </w:t>
      </w:r>
    </w:p>
    <w:p w14:paraId="2FBA9C76" w14:textId="77777777" w:rsidR="0063742F" w:rsidRPr="00EE7081" w:rsidRDefault="0063742F" w:rsidP="0063742F">
      <w:pPr>
        <w:keepLines/>
        <w:shd w:val="clear" w:color="auto" w:fill="FFFFFF"/>
        <w:rPr>
          <w:rFonts w:eastAsia="Open Sans"/>
        </w:rPr>
      </w:pPr>
    </w:p>
    <w:p w14:paraId="25111F94" w14:textId="77777777" w:rsidR="0063742F" w:rsidRPr="00EE7081" w:rsidRDefault="0063742F" w:rsidP="0063742F">
      <w:pPr>
        <w:keepLines/>
        <w:shd w:val="clear" w:color="auto" w:fill="FFFFFF"/>
        <w:spacing w:after="120"/>
        <w:rPr>
          <w:rFonts w:eastAsia="Open Sans"/>
        </w:rPr>
      </w:pPr>
      <w:r w:rsidRPr="00EE7081">
        <w:rPr>
          <w:rFonts w:eastAsia="Open Sans"/>
        </w:rPr>
        <w:t xml:space="preserve">The following categories are the most common for grantees, and are allowable costs to the grant (this list is not comprehensive—local providers must adhere to all allowable costs requirements established in the </w:t>
      </w:r>
      <w:r w:rsidRPr="00EE7081">
        <w:rPr>
          <w:rFonts w:eastAsia="Open Sans"/>
          <w:i/>
        </w:rPr>
        <w:t>Uniform Guidance</w:t>
      </w:r>
      <w:r w:rsidRPr="00EE7081">
        <w:rPr>
          <w:rFonts w:eastAsia="Open Sans"/>
        </w:rPr>
        <w:t>):</w:t>
      </w:r>
    </w:p>
    <w:p w14:paraId="1CF539E6" w14:textId="77777777" w:rsidR="0063742F" w:rsidRPr="00EE7081" w:rsidRDefault="0063742F" w:rsidP="00D90CF9">
      <w:pPr>
        <w:keepLines/>
        <w:numPr>
          <w:ilvl w:val="0"/>
          <w:numId w:val="8"/>
        </w:numPr>
        <w:pBdr>
          <w:top w:val="nil"/>
          <w:left w:val="nil"/>
          <w:bottom w:val="nil"/>
          <w:right w:val="nil"/>
          <w:between w:val="nil"/>
        </w:pBdr>
        <w:spacing w:after="80"/>
        <w:rPr>
          <w:rFonts w:eastAsia="Open Sans"/>
        </w:rPr>
      </w:pPr>
      <w:r w:rsidRPr="00EE7081">
        <w:rPr>
          <w:rFonts w:eastAsia="Open Sans"/>
        </w:rPr>
        <w:t>Personnel salaries and wages</w:t>
      </w:r>
    </w:p>
    <w:p w14:paraId="06BAEAD3" w14:textId="01F95E8E" w:rsidR="0063742F" w:rsidRPr="00EE7081" w:rsidRDefault="0063742F" w:rsidP="00D90CF9">
      <w:pPr>
        <w:keepLines/>
        <w:numPr>
          <w:ilvl w:val="0"/>
          <w:numId w:val="8"/>
        </w:numPr>
        <w:pBdr>
          <w:top w:val="nil"/>
          <w:left w:val="nil"/>
          <w:bottom w:val="nil"/>
          <w:right w:val="nil"/>
          <w:between w:val="nil"/>
        </w:pBdr>
        <w:spacing w:after="80"/>
        <w:rPr>
          <w:rFonts w:eastAsia="Open Sans"/>
        </w:rPr>
      </w:pPr>
      <w:r w:rsidRPr="00EE7081">
        <w:rPr>
          <w:rFonts w:eastAsia="Open Sans"/>
        </w:rPr>
        <w:t>Personnel fringe benefits</w:t>
      </w:r>
      <w:r w:rsidR="00D96416">
        <w:rPr>
          <w:rFonts w:eastAsia="Open Sans"/>
        </w:rPr>
        <w:t xml:space="preserve"> (including the </w:t>
      </w:r>
      <w:r w:rsidR="008678D8">
        <w:rPr>
          <w:rFonts w:eastAsia="Open Sans"/>
        </w:rPr>
        <w:t>employer-paid portion</w:t>
      </w:r>
      <w:r w:rsidR="00D70F20">
        <w:rPr>
          <w:rFonts w:eastAsia="Open Sans"/>
        </w:rPr>
        <w:t>s</w:t>
      </w:r>
      <w:r w:rsidR="008678D8">
        <w:rPr>
          <w:rFonts w:eastAsia="Open Sans"/>
        </w:rPr>
        <w:t xml:space="preserve"> of </w:t>
      </w:r>
      <w:r w:rsidR="000B62C3">
        <w:rPr>
          <w:rFonts w:eastAsia="Open Sans"/>
        </w:rPr>
        <w:t xml:space="preserve">FICA, </w:t>
      </w:r>
      <w:r w:rsidR="00526F56">
        <w:rPr>
          <w:rFonts w:eastAsia="Open Sans"/>
        </w:rPr>
        <w:t>employee insurance</w:t>
      </w:r>
      <w:r w:rsidR="00417F91">
        <w:rPr>
          <w:rFonts w:eastAsia="Open Sans"/>
        </w:rPr>
        <w:t xml:space="preserve"> </w:t>
      </w:r>
      <w:r w:rsidR="00981AE3">
        <w:rPr>
          <w:rFonts w:eastAsia="Open Sans"/>
        </w:rPr>
        <w:t>and</w:t>
      </w:r>
      <w:r w:rsidR="00DC1707">
        <w:rPr>
          <w:rFonts w:eastAsia="Open Sans"/>
        </w:rPr>
        <w:t xml:space="preserve"> retirement plans,</w:t>
      </w:r>
      <w:r w:rsidR="00526F56">
        <w:rPr>
          <w:rFonts w:eastAsia="Open Sans"/>
        </w:rPr>
        <w:t xml:space="preserve"> and</w:t>
      </w:r>
      <w:r w:rsidR="00E67060">
        <w:rPr>
          <w:rFonts w:eastAsia="Open Sans"/>
        </w:rPr>
        <w:t xml:space="preserve"> unemployment</w:t>
      </w:r>
      <w:r w:rsidR="00526F56">
        <w:rPr>
          <w:rFonts w:eastAsia="Open Sans"/>
        </w:rPr>
        <w:t xml:space="preserve"> </w:t>
      </w:r>
      <w:r w:rsidR="00E67060">
        <w:rPr>
          <w:rFonts w:eastAsia="Open Sans"/>
        </w:rPr>
        <w:t>and workers’ compensation insurance</w:t>
      </w:r>
      <w:r w:rsidR="001A15D7">
        <w:rPr>
          <w:rFonts w:eastAsia="Open Sans"/>
        </w:rPr>
        <w:t>)</w:t>
      </w:r>
    </w:p>
    <w:p w14:paraId="4BCF51F4" w14:textId="5291A3B7" w:rsidR="0063742F" w:rsidRPr="00EE7081" w:rsidRDefault="0063742F" w:rsidP="00D90CF9">
      <w:pPr>
        <w:keepLines/>
        <w:numPr>
          <w:ilvl w:val="0"/>
          <w:numId w:val="8"/>
        </w:numPr>
        <w:pBdr>
          <w:top w:val="nil"/>
          <w:left w:val="nil"/>
          <w:bottom w:val="nil"/>
          <w:right w:val="nil"/>
          <w:between w:val="nil"/>
        </w:pBdr>
        <w:spacing w:after="80"/>
        <w:rPr>
          <w:rFonts w:eastAsia="Open Sans"/>
        </w:rPr>
      </w:pPr>
      <w:r w:rsidRPr="00EE7081">
        <w:rPr>
          <w:rFonts w:eastAsia="Open Sans"/>
        </w:rPr>
        <w:t xml:space="preserve">Supplies needed for operating the program, including </w:t>
      </w:r>
      <w:r w:rsidR="00A73F9A">
        <w:rPr>
          <w:rFonts w:eastAsia="Open Sans"/>
        </w:rPr>
        <w:t xml:space="preserve">curriculum </w:t>
      </w:r>
      <w:r w:rsidRPr="00EE7081">
        <w:rPr>
          <w:rFonts w:eastAsia="Open Sans"/>
        </w:rPr>
        <w:t xml:space="preserve">materials, </w:t>
      </w:r>
      <w:r w:rsidR="00DF209F">
        <w:rPr>
          <w:rFonts w:eastAsia="Open Sans"/>
        </w:rPr>
        <w:t>student computers and hotspots</w:t>
      </w:r>
      <w:r w:rsidRPr="00EE7081">
        <w:rPr>
          <w:rFonts w:eastAsia="Open Sans"/>
        </w:rPr>
        <w:t>, office supplies, office furniture, classroom furniture,</w:t>
      </w:r>
      <w:r w:rsidR="008E5A87" w:rsidRPr="008E5A87">
        <w:rPr>
          <w:rFonts w:eastAsia="Open Sans"/>
        </w:rPr>
        <w:t xml:space="preserve"> </w:t>
      </w:r>
      <w:r w:rsidR="008E5A87">
        <w:rPr>
          <w:rFonts w:eastAsia="Open Sans"/>
        </w:rPr>
        <w:t>staff laptops and cell phones,</w:t>
      </w:r>
      <w:r w:rsidRPr="00EE7081">
        <w:rPr>
          <w:rFonts w:eastAsia="Open Sans"/>
        </w:rPr>
        <w:t xml:space="preserve"> etc.</w:t>
      </w:r>
    </w:p>
    <w:p w14:paraId="6B87EB69" w14:textId="77777777" w:rsidR="0063742F" w:rsidRPr="00EE7081" w:rsidRDefault="0063742F" w:rsidP="00D90CF9">
      <w:pPr>
        <w:keepLines/>
        <w:numPr>
          <w:ilvl w:val="0"/>
          <w:numId w:val="8"/>
        </w:numPr>
        <w:pBdr>
          <w:top w:val="nil"/>
          <w:left w:val="nil"/>
          <w:bottom w:val="nil"/>
          <w:right w:val="nil"/>
          <w:between w:val="nil"/>
        </w:pBdr>
        <w:spacing w:after="80"/>
        <w:rPr>
          <w:rFonts w:eastAsia="Open Sans"/>
        </w:rPr>
      </w:pPr>
      <w:r w:rsidRPr="00EE7081">
        <w:rPr>
          <w:rFonts w:eastAsia="Open Sans"/>
        </w:rPr>
        <w:t>Advertising and public relations for program outreach efforts</w:t>
      </w:r>
    </w:p>
    <w:p w14:paraId="585EF8F4" w14:textId="28E33229" w:rsidR="0063742F" w:rsidRPr="00EE7081" w:rsidRDefault="0063742F" w:rsidP="00D90CF9">
      <w:pPr>
        <w:keepLines/>
        <w:numPr>
          <w:ilvl w:val="0"/>
          <w:numId w:val="8"/>
        </w:numPr>
        <w:pBdr>
          <w:top w:val="nil"/>
          <w:left w:val="nil"/>
          <w:bottom w:val="nil"/>
          <w:right w:val="nil"/>
          <w:between w:val="nil"/>
        </w:pBdr>
        <w:spacing w:after="80"/>
        <w:rPr>
          <w:rFonts w:eastAsia="Open Sans"/>
        </w:rPr>
      </w:pPr>
      <w:r w:rsidRPr="00EE7081">
        <w:rPr>
          <w:rFonts w:eastAsia="Open Sans"/>
        </w:rPr>
        <w:t xml:space="preserve">Rental of real property </w:t>
      </w:r>
      <w:r w:rsidR="00AE20CD">
        <w:rPr>
          <w:rFonts w:eastAsia="Open Sans"/>
        </w:rPr>
        <w:t>or</w:t>
      </w:r>
      <w:r w:rsidRPr="00EE7081">
        <w:rPr>
          <w:rFonts w:eastAsia="Open Sans"/>
        </w:rPr>
        <w:t xml:space="preserve"> equipment</w:t>
      </w:r>
    </w:p>
    <w:p w14:paraId="4E81925D" w14:textId="1FB582C1" w:rsidR="0063742F" w:rsidRPr="00EE7081" w:rsidRDefault="002D686F" w:rsidP="00D90CF9">
      <w:pPr>
        <w:keepLines/>
        <w:numPr>
          <w:ilvl w:val="0"/>
          <w:numId w:val="8"/>
        </w:numPr>
        <w:pBdr>
          <w:top w:val="nil"/>
          <w:left w:val="nil"/>
          <w:bottom w:val="nil"/>
          <w:right w:val="nil"/>
          <w:between w:val="nil"/>
        </w:pBdr>
        <w:spacing w:after="80"/>
        <w:rPr>
          <w:rFonts w:eastAsia="Open Sans"/>
        </w:rPr>
      </w:pPr>
      <w:r>
        <w:rPr>
          <w:rFonts w:eastAsia="Open Sans"/>
        </w:rPr>
        <w:t>U</w:t>
      </w:r>
      <w:r w:rsidR="0063742F" w:rsidRPr="00EE7081">
        <w:rPr>
          <w:rFonts w:eastAsia="Open Sans"/>
        </w:rPr>
        <w:t>tilities, security, janitorial services</w:t>
      </w:r>
      <w:r w:rsidR="00E03F26">
        <w:rPr>
          <w:rFonts w:eastAsia="Open Sans"/>
        </w:rPr>
        <w:t>,</w:t>
      </w:r>
      <w:r w:rsidR="00AD7F7F">
        <w:rPr>
          <w:rFonts w:eastAsia="Open Sans"/>
        </w:rPr>
        <w:t xml:space="preserve"> and</w:t>
      </w:r>
      <w:r w:rsidR="00E03F26">
        <w:rPr>
          <w:rFonts w:eastAsia="Open Sans"/>
        </w:rPr>
        <w:t xml:space="preserve"> maintenance</w:t>
      </w:r>
      <w:r w:rsidR="00D93B57">
        <w:rPr>
          <w:rFonts w:eastAsia="Open Sans"/>
        </w:rPr>
        <w:t xml:space="preserve"> and repair costs</w:t>
      </w:r>
    </w:p>
    <w:p w14:paraId="5BD8DEF0" w14:textId="77777777" w:rsidR="0063742F" w:rsidRPr="00EE7081" w:rsidRDefault="0063742F" w:rsidP="00D90CF9">
      <w:pPr>
        <w:keepLines/>
        <w:numPr>
          <w:ilvl w:val="0"/>
          <w:numId w:val="8"/>
        </w:numPr>
        <w:pBdr>
          <w:top w:val="nil"/>
          <w:left w:val="nil"/>
          <w:bottom w:val="nil"/>
          <w:right w:val="nil"/>
          <w:between w:val="nil"/>
        </w:pBdr>
        <w:spacing w:after="80"/>
        <w:rPr>
          <w:rFonts w:eastAsia="Open Sans"/>
        </w:rPr>
      </w:pPr>
      <w:r w:rsidRPr="00EE7081">
        <w:rPr>
          <w:rFonts w:eastAsia="Open Sans"/>
        </w:rPr>
        <w:t>Training and education for employee development</w:t>
      </w:r>
    </w:p>
    <w:p w14:paraId="29ED7F45" w14:textId="77777777" w:rsidR="0063742F" w:rsidRPr="00EE7081" w:rsidRDefault="0063742F" w:rsidP="00D90CF9">
      <w:pPr>
        <w:keepLines/>
        <w:numPr>
          <w:ilvl w:val="0"/>
          <w:numId w:val="8"/>
        </w:numPr>
        <w:pBdr>
          <w:top w:val="nil"/>
          <w:left w:val="nil"/>
          <w:bottom w:val="nil"/>
          <w:right w:val="nil"/>
          <w:between w:val="nil"/>
        </w:pBdr>
        <w:spacing w:after="80"/>
        <w:rPr>
          <w:rFonts w:eastAsia="Open Sans"/>
        </w:rPr>
      </w:pPr>
      <w:r w:rsidRPr="00EE7081">
        <w:rPr>
          <w:rFonts w:eastAsia="Open Sans"/>
        </w:rPr>
        <w:t>Travel costs associated with program-related functions</w:t>
      </w:r>
    </w:p>
    <w:p w14:paraId="17384AFE" w14:textId="77777777" w:rsidR="0063742F" w:rsidRPr="00EE7081" w:rsidRDefault="0063742F" w:rsidP="00D90CF9">
      <w:pPr>
        <w:keepLines/>
        <w:numPr>
          <w:ilvl w:val="0"/>
          <w:numId w:val="8"/>
        </w:numPr>
        <w:pBdr>
          <w:top w:val="nil"/>
          <w:left w:val="nil"/>
          <w:bottom w:val="nil"/>
          <w:right w:val="nil"/>
          <w:between w:val="nil"/>
        </w:pBdr>
        <w:spacing w:after="80"/>
        <w:rPr>
          <w:rFonts w:eastAsia="Open Sans"/>
        </w:rPr>
      </w:pPr>
      <w:r w:rsidRPr="00EE7081">
        <w:rPr>
          <w:rFonts w:eastAsia="Open Sans"/>
        </w:rPr>
        <w:t>Transportation assistance for students</w:t>
      </w:r>
    </w:p>
    <w:p w14:paraId="65A1AC57" w14:textId="77777777" w:rsidR="0063742F" w:rsidRDefault="0063742F" w:rsidP="00D90CF9">
      <w:pPr>
        <w:keepLines/>
        <w:numPr>
          <w:ilvl w:val="0"/>
          <w:numId w:val="8"/>
        </w:numPr>
        <w:pBdr>
          <w:top w:val="nil"/>
          <w:left w:val="nil"/>
          <w:bottom w:val="nil"/>
          <w:right w:val="nil"/>
          <w:between w:val="nil"/>
        </w:pBdr>
        <w:spacing w:after="240"/>
        <w:contextualSpacing/>
        <w:rPr>
          <w:rFonts w:eastAsia="Open Sans"/>
        </w:rPr>
      </w:pPr>
      <w:r w:rsidRPr="00EE7081">
        <w:rPr>
          <w:rFonts w:eastAsia="Open Sans"/>
        </w:rPr>
        <w:t>Childcare assistance for students</w:t>
      </w:r>
    </w:p>
    <w:p w14:paraId="4A1EAAAE" w14:textId="77777777" w:rsidR="00984B93" w:rsidRDefault="00984B93" w:rsidP="0063742F">
      <w:pPr>
        <w:keepLines/>
        <w:pBdr>
          <w:top w:val="nil"/>
          <w:left w:val="nil"/>
          <w:bottom w:val="nil"/>
          <w:right w:val="nil"/>
          <w:between w:val="nil"/>
        </w:pBdr>
        <w:rPr>
          <w:rFonts w:eastAsia="Open Sans"/>
        </w:rPr>
      </w:pPr>
    </w:p>
    <w:p w14:paraId="5B4F0A31" w14:textId="77777777" w:rsidR="0063742F" w:rsidRPr="00EE7081" w:rsidRDefault="0063742F" w:rsidP="0063742F">
      <w:pPr>
        <w:pStyle w:val="Heading3"/>
        <w:keepLines/>
      </w:pPr>
      <w:r w:rsidRPr="00EE7081">
        <w:t>Unallowable Costs</w:t>
      </w:r>
    </w:p>
    <w:p w14:paraId="0246E8EC" w14:textId="77777777" w:rsidR="0063742F" w:rsidRPr="00EE7081" w:rsidRDefault="0063742F" w:rsidP="0063742F">
      <w:pPr>
        <w:keepLines/>
        <w:pBdr>
          <w:top w:val="nil"/>
          <w:left w:val="nil"/>
          <w:bottom w:val="nil"/>
          <w:right w:val="nil"/>
          <w:between w:val="nil"/>
        </w:pBdr>
        <w:shd w:val="clear" w:color="auto" w:fill="FFFFFF"/>
        <w:rPr>
          <w:rFonts w:eastAsia="Open Sans"/>
        </w:rPr>
      </w:pPr>
    </w:p>
    <w:p w14:paraId="75626785" w14:textId="7BC6EAB5" w:rsidR="0063742F" w:rsidRDefault="0063742F" w:rsidP="0063742F">
      <w:pPr>
        <w:keepLines/>
        <w:pBdr>
          <w:top w:val="nil"/>
          <w:left w:val="nil"/>
          <w:bottom w:val="nil"/>
          <w:right w:val="nil"/>
          <w:between w:val="nil"/>
        </w:pBdr>
        <w:shd w:val="clear" w:color="auto" w:fill="FFFFFF"/>
        <w:spacing w:after="120"/>
        <w:rPr>
          <w:rFonts w:eastAsia="Open Sans"/>
        </w:rPr>
      </w:pPr>
      <w:r w:rsidRPr="00EE7081">
        <w:rPr>
          <w:rFonts w:eastAsia="Open Sans"/>
        </w:rPr>
        <w:t xml:space="preserve">Costs associated with the following items or categories are </w:t>
      </w:r>
      <w:r w:rsidRPr="00EE7081">
        <w:rPr>
          <w:rFonts w:eastAsia="Open Sans"/>
          <w:i/>
        </w:rPr>
        <w:t>unallowable</w:t>
      </w:r>
      <w:r w:rsidRPr="00EE7081">
        <w:rPr>
          <w:rFonts w:eastAsia="Open Sans"/>
        </w:rPr>
        <w:t xml:space="preserve"> costs to the grant (this list is not comprehensive—local providers must adhere to all unallowable costs requirements established in the </w:t>
      </w:r>
      <w:r w:rsidRPr="00EE7081">
        <w:rPr>
          <w:rFonts w:eastAsia="Open Sans"/>
          <w:i/>
        </w:rPr>
        <w:t>Uniform Guidance</w:t>
      </w:r>
      <w:r w:rsidRPr="00EE7081">
        <w:rPr>
          <w:rFonts w:eastAsia="Open Sans"/>
        </w:rPr>
        <w:t>):</w:t>
      </w:r>
    </w:p>
    <w:p w14:paraId="5B2A4597" w14:textId="77777777" w:rsidR="0063742F" w:rsidRPr="00EE7081" w:rsidRDefault="0063742F" w:rsidP="00D90CF9">
      <w:pPr>
        <w:keepLines/>
        <w:numPr>
          <w:ilvl w:val="0"/>
          <w:numId w:val="9"/>
        </w:numPr>
        <w:pBdr>
          <w:top w:val="nil"/>
          <w:left w:val="nil"/>
          <w:bottom w:val="nil"/>
          <w:right w:val="nil"/>
          <w:between w:val="nil"/>
        </w:pBdr>
        <w:spacing w:after="80"/>
        <w:rPr>
          <w:rFonts w:eastAsia="Open Sans"/>
        </w:rPr>
      </w:pPr>
      <w:r w:rsidRPr="00EE7081">
        <w:rPr>
          <w:rFonts w:eastAsia="Open Sans"/>
        </w:rPr>
        <w:t>Food</w:t>
      </w:r>
    </w:p>
    <w:p w14:paraId="7FBC8E63" w14:textId="184FADDC" w:rsidR="0063742F" w:rsidRPr="00EE7081" w:rsidRDefault="0063742F" w:rsidP="00D90CF9">
      <w:pPr>
        <w:keepLines/>
        <w:numPr>
          <w:ilvl w:val="0"/>
          <w:numId w:val="9"/>
        </w:numPr>
        <w:pBdr>
          <w:top w:val="nil"/>
          <w:left w:val="nil"/>
          <w:bottom w:val="nil"/>
          <w:right w:val="nil"/>
          <w:between w:val="nil"/>
        </w:pBdr>
        <w:spacing w:after="80"/>
        <w:rPr>
          <w:rFonts w:eastAsia="Open Sans"/>
        </w:rPr>
      </w:pPr>
      <w:r w:rsidRPr="00EE7081">
        <w:rPr>
          <w:rFonts w:eastAsia="Open Sans"/>
        </w:rPr>
        <w:t>Fees for high school equivalency testing</w:t>
      </w:r>
      <w:r w:rsidR="002B5E9A">
        <w:rPr>
          <w:rFonts w:eastAsia="Open Sans"/>
        </w:rPr>
        <w:t xml:space="preserve"> and graduation </w:t>
      </w:r>
      <w:r w:rsidR="001F13A2">
        <w:rPr>
          <w:rFonts w:eastAsia="Open Sans"/>
        </w:rPr>
        <w:t>cer</w:t>
      </w:r>
      <w:r w:rsidR="00695B4F">
        <w:rPr>
          <w:rFonts w:eastAsia="Open Sans"/>
        </w:rPr>
        <w:t>emon</w:t>
      </w:r>
      <w:r w:rsidR="00CC007A">
        <w:rPr>
          <w:rFonts w:eastAsia="Open Sans"/>
        </w:rPr>
        <w:t xml:space="preserve">y </w:t>
      </w:r>
      <w:r w:rsidR="002B5E9A">
        <w:rPr>
          <w:rFonts w:eastAsia="Open Sans"/>
        </w:rPr>
        <w:t>expenses</w:t>
      </w:r>
      <w:r w:rsidR="009F62C3">
        <w:rPr>
          <w:rStyle w:val="FootnoteReference"/>
          <w:rFonts w:eastAsia="Open Sans"/>
        </w:rPr>
        <w:footnoteReference w:id="19"/>
      </w:r>
    </w:p>
    <w:p w14:paraId="09B589D9" w14:textId="77777777" w:rsidR="0063742F" w:rsidRPr="00EE7081" w:rsidRDefault="0063742F" w:rsidP="00D90CF9">
      <w:pPr>
        <w:keepLines/>
        <w:numPr>
          <w:ilvl w:val="0"/>
          <w:numId w:val="9"/>
        </w:numPr>
        <w:spacing w:after="80"/>
        <w:rPr>
          <w:rFonts w:eastAsia="Open Sans"/>
        </w:rPr>
      </w:pPr>
      <w:r w:rsidRPr="00EE7081">
        <w:rPr>
          <w:rFonts w:eastAsia="Open Sans"/>
        </w:rPr>
        <w:t>Promotional items and memorabilia, including models, gifts, and souvenirs; and costs designed solely to promote the grant-holding agency</w:t>
      </w:r>
    </w:p>
    <w:p w14:paraId="14760D32" w14:textId="77777777" w:rsidR="0063742F" w:rsidRDefault="0063742F" w:rsidP="00D90CF9">
      <w:pPr>
        <w:keepLines/>
        <w:numPr>
          <w:ilvl w:val="0"/>
          <w:numId w:val="9"/>
        </w:numPr>
        <w:pBdr>
          <w:top w:val="nil"/>
          <w:left w:val="nil"/>
          <w:bottom w:val="nil"/>
          <w:right w:val="nil"/>
          <w:between w:val="nil"/>
        </w:pBdr>
        <w:spacing w:after="80"/>
        <w:rPr>
          <w:rFonts w:eastAsia="Open Sans"/>
          <w:highlight w:val="white"/>
        </w:rPr>
      </w:pPr>
      <w:r w:rsidRPr="00EE7081">
        <w:rPr>
          <w:rFonts w:eastAsia="Open Sans"/>
          <w:highlight w:val="white"/>
        </w:rPr>
        <w:t>Entertainment, including amusement, diversion, and social activities and any associated costs</w:t>
      </w:r>
    </w:p>
    <w:p w14:paraId="0A7D1E0D" w14:textId="1248C2FF" w:rsidR="009C51CC" w:rsidRPr="00EE7081" w:rsidRDefault="009C51CC" w:rsidP="00D90CF9">
      <w:pPr>
        <w:keepLines/>
        <w:numPr>
          <w:ilvl w:val="0"/>
          <w:numId w:val="9"/>
        </w:numPr>
        <w:pBdr>
          <w:top w:val="nil"/>
          <w:left w:val="nil"/>
          <w:bottom w:val="nil"/>
          <w:right w:val="nil"/>
          <w:between w:val="nil"/>
        </w:pBdr>
        <w:spacing w:after="80"/>
        <w:rPr>
          <w:rFonts w:eastAsia="Open Sans"/>
          <w:highlight w:val="white"/>
        </w:rPr>
      </w:pPr>
      <w:r>
        <w:rPr>
          <w:rFonts w:eastAsia="Open Sans"/>
          <w:highlight w:val="white"/>
        </w:rPr>
        <w:t>Capital expenditures, unless approved by TDLWD</w:t>
      </w:r>
    </w:p>
    <w:p w14:paraId="5DBC73B8" w14:textId="77777777" w:rsidR="0063742F" w:rsidRDefault="0063742F" w:rsidP="00D90CF9">
      <w:pPr>
        <w:keepLines/>
        <w:numPr>
          <w:ilvl w:val="0"/>
          <w:numId w:val="9"/>
        </w:numPr>
        <w:pBdr>
          <w:top w:val="nil"/>
          <w:left w:val="nil"/>
          <w:bottom w:val="nil"/>
          <w:right w:val="nil"/>
          <w:between w:val="nil"/>
        </w:pBdr>
        <w:rPr>
          <w:rFonts w:eastAsia="Open Sans"/>
        </w:rPr>
      </w:pPr>
      <w:r w:rsidRPr="00EE7081">
        <w:rPr>
          <w:rFonts w:eastAsia="Open Sans"/>
        </w:rPr>
        <w:t>Costs that are not reasonable, necessary, or allocable to the grant</w:t>
      </w:r>
    </w:p>
    <w:p w14:paraId="04253F6D" w14:textId="77777777" w:rsidR="0063742F" w:rsidRPr="00005D82" w:rsidRDefault="0063742F" w:rsidP="0063742F">
      <w:pPr>
        <w:pStyle w:val="Heading3"/>
        <w:keepLines/>
      </w:pPr>
      <w:r w:rsidRPr="00005D82">
        <w:lastRenderedPageBreak/>
        <w:t>Supplement not Supplant</w:t>
      </w:r>
    </w:p>
    <w:p w14:paraId="23FEE34F" w14:textId="77777777" w:rsidR="0063742F" w:rsidRPr="00005D82" w:rsidRDefault="0063742F" w:rsidP="0063742F">
      <w:pPr>
        <w:keepLines/>
      </w:pPr>
    </w:p>
    <w:p w14:paraId="046315B6" w14:textId="77777777" w:rsidR="0063742F" w:rsidRPr="00005D82" w:rsidRDefault="0063742F" w:rsidP="0063742F">
      <w:pPr>
        <w:keepLines/>
        <w:rPr>
          <w:rFonts w:eastAsia="Open Sans"/>
        </w:rPr>
      </w:pPr>
      <w:r w:rsidRPr="00005D82">
        <w:rPr>
          <w:rFonts w:eastAsia="Open Sans"/>
        </w:rPr>
        <w:t>Adult Education grant funds “shall supplement and not supplant other State or local public funds expended for adult education and literacy activities.”</w:t>
      </w:r>
      <w:r w:rsidRPr="00005D82">
        <w:rPr>
          <w:rFonts w:eastAsia="Open Sans"/>
          <w:vertAlign w:val="superscript"/>
        </w:rPr>
        <w:footnoteReference w:id="20"/>
      </w:r>
      <w:r w:rsidRPr="00005D82">
        <w:rPr>
          <w:rFonts w:eastAsia="Open Sans"/>
        </w:rPr>
        <w:t xml:space="preserve"> Costs to the grant that are considered supplanting are unallowable.</w:t>
      </w:r>
    </w:p>
    <w:p w14:paraId="68448995" w14:textId="77777777" w:rsidR="0063742F" w:rsidRPr="001D658A" w:rsidRDefault="0063742F" w:rsidP="0063742F">
      <w:pPr>
        <w:keepLines/>
        <w:pBdr>
          <w:top w:val="nil"/>
          <w:left w:val="nil"/>
          <w:bottom w:val="nil"/>
          <w:right w:val="nil"/>
          <w:between w:val="nil"/>
        </w:pBdr>
        <w:rPr>
          <w:rFonts w:eastAsia="Open Sans"/>
          <w:highlight w:val="white"/>
        </w:rPr>
      </w:pPr>
    </w:p>
    <w:p w14:paraId="285F0840" w14:textId="77777777" w:rsidR="0063742F" w:rsidRPr="008D1584" w:rsidRDefault="0063742F" w:rsidP="0063742F">
      <w:pPr>
        <w:pStyle w:val="Heading3"/>
        <w:keepLines/>
      </w:pPr>
      <w:r w:rsidRPr="008D1584">
        <w:t>Administrative Costs</w:t>
      </w:r>
    </w:p>
    <w:p w14:paraId="60CC4109" w14:textId="77777777" w:rsidR="0063742F" w:rsidRPr="008D1584" w:rsidRDefault="0063742F" w:rsidP="0063742F">
      <w:pPr>
        <w:pStyle w:val="Heading3"/>
        <w:keepLines/>
      </w:pPr>
    </w:p>
    <w:p w14:paraId="16E7E28B" w14:textId="3A736084" w:rsidR="0063742F" w:rsidRPr="008D1584" w:rsidRDefault="0063742F" w:rsidP="0063742F">
      <w:pPr>
        <w:rPr>
          <w:color w:val="000000"/>
          <w:shd w:val="clear" w:color="auto" w:fill="FFFFFF"/>
        </w:rPr>
      </w:pPr>
      <w:r w:rsidRPr="008D1584">
        <w:rPr>
          <w:color w:val="000000"/>
          <w:shd w:val="clear" w:color="auto" w:fill="FFFFFF"/>
        </w:rPr>
        <w:t xml:space="preserve">Not more than five (5) percent of </w:t>
      </w:r>
      <w:r w:rsidR="000731EF" w:rsidRPr="008D1584">
        <w:rPr>
          <w:color w:val="000000"/>
          <w:shd w:val="clear" w:color="auto" w:fill="FFFFFF"/>
        </w:rPr>
        <w:t xml:space="preserve">the grant </w:t>
      </w:r>
      <w:r w:rsidRPr="008D1584">
        <w:rPr>
          <w:color w:val="000000"/>
          <w:shd w:val="clear" w:color="auto" w:fill="FFFFFF"/>
        </w:rPr>
        <w:t xml:space="preserve">can be expended </w:t>
      </w:r>
      <w:r w:rsidR="00C637E9" w:rsidRPr="008D1584">
        <w:rPr>
          <w:color w:val="000000"/>
          <w:shd w:val="clear" w:color="auto" w:fill="FFFFFF"/>
        </w:rPr>
        <w:t>on “local administrative costs”</w:t>
      </w:r>
      <w:r w:rsidRPr="008D1584">
        <w:rPr>
          <w:color w:val="000000"/>
          <w:shd w:val="clear" w:color="auto" w:fill="FFFFFF"/>
        </w:rPr>
        <w:t xml:space="preserve">. In cases where five percent is too restrictive to allow for administrative activities, </w:t>
      </w:r>
      <w:r w:rsidR="00446F8D" w:rsidRPr="008D1584">
        <w:rPr>
          <w:color w:val="000000"/>
          <w:shd w:val="clear" w:color="auto" w:fill="FFFFFF"/>
        </w:rPr>
        <w:t xml:space="preserve">TDLWD </w:t>
      </w:r>
      <w:r w:rsidRPr="008D1584">
        <w:rPr>
          <w:color w:val="000000"/>
          <w:shd w:val="clear" w:color="auto" w:fill="FFFFFF"/>
        </w:rPr>
        <w:t xml:space="preserve">may increase </w:t>
      </w:r>
      <w:r w:rsidR="00446F8D" w:rsidRPr="008D1584">
        <w:rPr>
          <w:color w:val="000000"/>
          <w:shd w:val="clear" w:color="auto" w:fill="FFFFFF"/>
        </w:rPr>
        <w:t>the allowable amount</w:t>
      </w:r>
      <w:r w:rsidRPr="008D1584">
        <w:rPr>
          <w:color w:val="000000"/>
          <w:shd w:val="clear" w:color="auto" w:fill="FFFFFF"/>
        </w:rPr>
        <w:t xml:space="preserve">. In such cases, </w:t>
      </w:r>
      <w:r w:rsidR="00446F8D" w:rsidRPr="008D1584">
        <w:rPr>
          <w:color w:val="000000"/>
          <w:shd w:val="clear" w:color="auto" w:fill="FFFFFF"/>
        </w:rPr>
        <w:t xml:space="preserve">TDLWD </w:t>
      </w:r>
      <w:r w:rsidRPr="008D1584">
        <w:rPr>
          <w:color w:val="000000"/>
          <w:shd w:val="clear" w:color="auto" w:fill="FFFFFF"/>
        </w:rPr>
        <w:t xml:space="preserve">must negotiate with the </w:t>
      </w:r>
      <w:r w:rsidR="00446F8D" w:rsidRPr="008D1584">
        <w:rPr>
          <w:color w:val="000000"/>
          <w:shd w:val="clear" w:color="auto" w:fill="FFFFFF"/>
        </w:rPr>
        <w:t>grantee</w:t>
      </w:r>
      <w:r w:rsidRPr="008D1584">
        <w:rPr>
          <w:color w:val="000000"/>
          <w:shd w:val="clear" w:color="auto" w:fill="FFFFFF"/>
        </w:rPr>
        <w:t xml:space="preserve"> to determine an adequate level of </w:t>
      </w:r>
      <w:r w:rsidR="001C76F8" w:rsidRPr="008D1584">
        <w:rPr>
          <w:color w:val="000000"/>
          <w:shd w:val="clear" w:color="auto" w:fill="FFFFFF"/>
        </w:rPr>
        <w:t xml:space="preserve">local administrative </w:t>
      </w:r>
      <w:r w:rsidRPr="008D1584">
        <w:rPr>
          <w:color w:val="000000"/>
          <w:shd w:val="clear" w:color="auto" w:fill="FFFFFF"/>
        </w:rPr>
        <w:t>funds</w:t>
      </w:r>
      <w:r w:rsidR="00931B54" w:rsidRPr="008D1584">
        <w:rPr>
          <w:color w:val="000000"/>
          <w:shd w:val="clear" w:color="auto" w:fill="FFFFFF"/>
        </w:rPr>
        <w:t>.</w:t>
      </w:r>
      <w:r w:rsidRPr="008D1584">
        <w:rPr>
          <w:rStyle w:val="FootnoteReference"/>
          <w:color w:val="000000"/>
          <w:shd w:val="clear" w:color="auto" w:fill="FFFFFF"/>
        </w:rPr>
        <w:footnoteReference w:id="21"/>
      </w:r>
    </w:p>
    <w:p w14:paraId="33189E53" w14:textId="77777777" w:rsidR="00931B54" w:rsidRPr="008D1584" w:rsidRDefault="00931B54" w:rsidP="0063742F"/>
    <w:p w14:paraId="58EAB407" w14:textId="1B7844A4" w:rsidR="0063742F" w:rsidRPr="008D1584" w:rsidRDefault="00283BD2" w:rsidP="0063742F">
      <w:pPr>
        <w:keepLines/>
        <w:pBdr>
          <w:top w:val="nil"/>
          <w:left w:val="nil"/>
          <w:bottom w:val="nil"/>
          <w:right w:val="nil"/>
          <w:between w:val="nil"/>
        </w:pBdr>
        <w:spacing w:after="240"/>
        <w:rPr>
          <w:rFonts w:eastAsia="Open Sans"/>
          <w:highlight w:val="white"/>
        </w:rPr>
      </w:pPr>
      <w:r w:rsidRPr="008D1584">
        <w:rPr>
          <w:rFonts w:eastAsia="Open Sans"/>
        </w:rPr>
        <w:t>Grantees are required to budget for and track administrative costs</w:t>
      </w:r>
      <w:r>
        <w:rPr>
          <w:rFonts w:eastAsia="Open Sans"/>
        </w:rPr>
        <w:t xml:space="preserve"> as part of their regular operating budgets</w:t>
      </w:r>
      <w:r w:rsidRPr="008D1584">
        <w:rPr>
          <w:rFonts w:eastAsia="Open Sans"/>
        </w:rPr>
        <w:t>.</w:t>
      </w:r>
      <w:bookmarkStart w:id="22" w:name="_iu3bxvi607x0" w:colFirst="0" w:colLast="0"/>
      <w:bookmarkEnd w:id="22"/>
      <w:r>
        <w:rPr>
          <w:rStyle w:val="FootnoteReference"/>
          <w:rFonts w:eastAsia="Open Sans"/>
        </w:rPr>
        <w:footnoteReference w:id="22"/>
      </w:r>
      <w:r w:rsidRPr="008D1584">
        <w:rPr>
          <w:rFonts w:eastAsia="Open Sans"/>
        </w:rPr>
        <w:t xml:space="preserve"> </w:t>
      </w:r>
      <w:r w:rsidR="0063742F" w:rsidRPr="008D1584">
        <w:rPr>
          <w:rFonts w:eastAsia="Open Sans"/>
        </w:rPr>
        <w:t>C</w:t>
      </w:r>
      <w:r w:rsidR="0063742F" w:rsidRPr="008D1584">
        <w:rPr>
          <w:rFonts w:eastAsia="Open Sans"/>
          <w:highlight w:val="white"/>
        </w:rPr>
        <w:t>osts incurred in connection with the activities listed below are considered administrative costs.</w:t>
      </w:r>
      <w:r w:rsidR="0063742F" w:rsidRPr="008D1584">
        <w:rPr>
          <w:rFonts w:eastAsia="Open Sans"/>
          <w:vertAlign w:val="superscript"/>
        </w:rPr>
        <w:footnoteReference w:id="23"/>
      </w:r>
      <w:r w:rsidR="0063742F" w:rsidRPr="008D1584">
        <w:rPr>
          <w:rFonts w:eastAsia="Open Sans"/>
          <w:highlight w:val="white"/>
        </w:rPr>
        <w:t xml:space="preserve"> </w:t>
      </w:r>
      <w:bookmarkStart w:id="23" w:name="_b3sd78bs5ui0" w:colFirst="0" w:colLast="0"/>
      <w:bookmarkStart w:id="24" w:name="_2h4cbcupks3x" w:colFirst="0" w:colLast="0"/>
      <w:bookmarkEnd w:id="23"/>
      <w:bookmarkEnd w:id="24"/>
    </w:p>
    <w:p w14:paraId="3F095FF6" w14:textId="77777777" w:rsidR="0063742F" w:rsidRPr="008D1584" w:rsidRDefault="0063742F" w:rsidP="00D90CF9">
      <w:pPr>
        <w:keepLines/>
        <w:numPr>
          <w:ilvl w:val="0"/>
          <w:numId w:val="7"/>
        </w:numPr>
        <w:pBdr>
          <w:top w:val="nil"/>
          <w:left w:val="nil"/>
          <w:bottom w:val="nil"/>
          <w:right w:val="nil"/>
          <w:between w:val="nil"/>
        </w:pBdr>
        <w:spacing w:after="120"/>
        <w:rPr>
          <w:rFonts w:eastAsia="Open Sans"/>
          <w:highlight w:val="white"/>
        </w:rPr>
      </w:pPr>
      <w:r w:rsidRPr="008D1584">
        <w:rPr>
          <w:rFonts w:eastAsia="Open Sans"/>
          <w:i/>
          <w:highlight w:val="white"/>
        </w:rPr>
        <w:t>Planning</w:t>
      </w:r>
      <w:r w:rsidRPr="008D1584">
        <w:rPr>
          <w:rFonts w:eastAsia="Open Sans"/>
          <w:highlight w:val="white"/>
        </w:rPr>
        <w:t xml:space="preserve">: activities related to developing the local workforce plan with the other WIOA partners. (High-level planning, collaborating, and plan drafting are considered the administrative activities; further strategizing and implementing the various components of the plan is </w:t>
      </w:r>
      <w:r w:rsidRPr="008D1584">
        <w:rPr>
          <w:rFonts w:eastAsia="Open Sans"/>
          <w:i/>
          <w:highlight w:val="white"/>
        </w:rPr>
        <w:t>not</w:t>
      </w:r>
      <w:r w:rsidRPr="008D1584">
        <w:rPr>
          <w:rFonts w:eastAsia="Open Sans"/>
          <w:highlight w:val="white"/>
        </w:rPr>
        <w:t xml:space="preserve"> considered administrative, </w:t>
      </w:r>
      <w:proofErr w:type="gramStart"/>
      <w:r w:rsidRPr="008D1584">
        <w:rPr>
          <w:rFonts w:eastAsia="Open Sans"/>
          <w:highlight w:val="white"/>
        </w:rPr>
        <w:t>with the exception of</w:t>
      </w:r>
      <w:proofErr w:type="gramEnd"/>
      <w:r w:rsidRPr="008D1584">
        <w:rPr>
          <w:rFonts w:eastAsia="Open Sans"/>
          <w:highlight w:val="white"/>
        </w:rPr>
        <w:t xml:space="preserve"> the high-level planning associated with co-enrollment programs—see section 2(D), below.)</w:t>
      </w:r>
    </w:p>
    <w:p w14:paraId="65B33E07" w14:textId="77777777" w:rsidR="0063742F" w:rsidRPr="008D1584" w:rsidRDefault="0063742F" w:rsidP="00D90CF9">
      <w:pPr>
        <w:keepLines/>
        <w:numPr>
          <w:ilvl w:val="0"/>
          <w:numId w:val="7"/>
        </w:numPr>
        <w:pBdr>
          <w:top w:val="nil"/>
          <w:left w:val="nil"/>
          <w:bottom w:val="nil"/>
          <w:right w:val="nil"/>
          <w:between w:val="nil"/>
        </w:pBdr>
        <w:spacing w:after="120"/>
        <w:rPr>
          <w:rFonts w:eastAsia="Open Sans"/>
          <w:highlight w:val="white"/>
        </w:rPr>
      </w:pPr>
      <w:bookmarkStart w:id="25" w:name="_p9xcuennu62c" w:colFirst="0" w:colLast="0"/>
      <w:bookmarkEnd w:id="25"/>
      <w:r w:rsidRPr="008D1584">
        <w:rPr>
          <w:rFonts w:eastAsia="Open Sans"/>
          <w:i/>
          <w:highlight w:val="white"/>
        </w:rPr>
        <w:t>Administration, including carrying out performance accountability requirements</w:t>
      </w:r>
      <w:r w:rsidRPr="008D1584">
        <w:rPr>
          <w:rFonts w:eastAsia="Open Sans"/>
          <w:highlight w:val="white"/>
        </w:rPr>
        <w:t>:</w:t>
      </w:r>
      <w:r w:rsidRPr="008D1584">
        <w:rPr>
          <w:rFonts w:eastAsia="Open Sans"/>
          <w:b/>
          <w:highlight w:val="white"/>
        </w:rPr>
        <w:t xml:space="preserve"> </w:t>
      </w:r>
      <w:r w:rsidRPr="008D1584">
        <w:rPr>
          <w:rFonts w:eastAsia="Open Sans"/>
          <w:highlight w:val="white"/>
        </w:rPr>
        <w:t xml:space="preserve">activities related to preparing program-level reports (e.g., compiling monthly expenditure reports, aggregating quarterly performance data, fulfilling a request from TDLWD concerning AJC costs or other program-level information, etc.) </w:t>
      </w:r>
    </w:p>
    <w:p w14:paraId="285F6E55" w14:textId="77777777" w:rsidR="0063742F" w:rsidRPr="008D1584" w:rsidRDefault="0063742F" w:rsidP="00D90CF9">
      <w:pPr>
        <w:keepLines/>
        <w:numPr>
          <w:ilvl w:val="0"/>
          <w:numId w:val="7"/>
        </w:numPr>
        <w:pBdr>
          <w:top w:val="nil"/>
          <w:left w:val="nil"/>
          <w:bottom w:val="nil"/>
          <w:right w:val="nil"/>
          <w:between w:val="nil"/>
        </w:pBdr>
        <w:spacing w:after="120"/>
        <w:rPr>
          <w:rFonts w:eastAsia="Open Sans"/>
          <w:highlight w:val="white"/>
        </w:rPr>
      </w:pPr>
      <w:bookmarkStart w:id="26" w:name="_bugakzg9p89l" w:colFirst="0" w:colLast="0"/>
      <w:bookmarkEnd w:id="26"/>
      <w:r w:rsidRPr="008D1584">
        <w:rPr>
          <w:rFonts w:eastAsia="Open Sans"/>
          <w:i/>
          <w:highlight w:val="white"/>
        </w:rPr>
        <w:t>Professional development</w:t>
      </w:r>
      <w:r w:rsidRPr="008D1584">
        <w:rPr>
          <w:rFonts w:eastAsia="Open Sans"/>
          <w:highlight w:val="white"/>
        </w:rPr>
        <w:t xml:space="preserve">: costs for formal professional development activities, including conference fees, travel expenses, speaker/trainer fees, etc. Costs for staff salaries/wages associated with professional development are </w:t>
      </w:r>
      <w:r w:rsidRPr="008D1584">
        <w:rPr>
          <w:rFonts w:eastAsia="Open Sans"/>
          <w:i/>
          <w:highlight w:val="white"/>
        </w:rPr>
        <w:t>not</w:t>
      </w:r>
      <w:r w:rsidRPr="008D1584">
        <w:rPr>
          <w:rFonts w:eastAsia="Open Sans"/>
          <w:highlight w:val="white"/>
        </w:rPr>
        <w:t xml:space="preserve"> considered administrative.</w:t>
      </w:r>
      <w:r w:rsidRPr="008D1584">
        <w:rPr>
          <w:rFonts w:eastAsia="Open Sans"/>
          <w:highlight w:val="white"/>
          <w:vertAlign w:val="superscript"/>
        </w:rPr>
        <w:footnoteReference w:id="24"/>
      </w:r>
    </w:p>
    <w:p w14:paraId="701879E9" w14:textId="77777777" w:rsidR="0063742F" w:rsidRPr="008D1584" w:rsidRDefault="0063742F" w:rsidP="00D90CF9">
      <w:pPr>
        <w:keepLines/>
        <w:numPr>
          <w:ilvl w:val="0"/>
          <w:numId w:val="7"/>
        </w:numPr>
        <w:pBdr>
          <w:top w:val="nil"/>
          <w:left w:val="nil"/>
          <w:bottom w:val="nil"/>
          <w:right w:val="nil"/>
          <w:between w:val="nil"/>
        </w:pBdr>
        <w:spacing w:after="120"/>
        <w:rPr>
          <w:rFonts w:eastAsia="Open Sans"/>
          <w:highlight w:val="white"/>
        </w:rPr>
      </w:pPr>
      <w:bookmarkStart w:id="27" w:name="_2mdv54547rc4" w:colFirst="0" w:colLast="0"/>
      <w:bookmarkEnd w:id="27"/>
      <w:r w:rsidRPr="008D1584">
        <w:rPr>
          <w:rFonts w:eastAsia="Open Sans"/>
          <w:i/>
          <w:highlight w:val="white"/>
        </w:rPr>
        <w:lastRenderedPageBreak/>
        <w:t>Providing adult education and literacy services in alignment with local workforce plans, including promoting co-enrollment in programs and activities under title I, as appropriate</w:t>
      </w:r>
      <w:r w:rsidRPr="008D1584">
        <w:rPr>
          <w:rFonts w:eastAsia="Open Sans"/>
          <w:highlight w:val="white"/>
        </w:rPr>
        <w:t xml:space="preserve">: activities related to designing and promoting a system for co-enrolling Adult Education students in post-secondary education and training programs via WIOA Title I funds. (High-level planning and designing the system with other service providers are considered the administrative activities; implementing and carrying out the system with students is </w:t>
      </w:r>
      <w:r w:rsidRPr="008D1584">
        <w:rPr>
          <w:rFonts w:eastAsia="Open Sans"/>
          <w:i/>
          <w:highlight w:val="white"/>
        </w:rPr>
        <w:t xml:space="preserve">not </w:t>
      </w:r>
      <w:r w:rsidRPr="008D1584">
        <w:rPr>
          <w:rFonts w:eastAsia="Open Sans"/>
          <w:highlight w:val="white"/>
        </w:rPr>
        <w:t>considered administrative.)</w:t>
      </w:r>
      <w:bookmarkStart w:id="28" w:name="_wpz4foioremz" w:colFirst="0" w:colLast="0"/>
      <w:bookmarkEnd w:id="28"/>
    </w:p>
    <w:p w14:paraId="7609C0F9" w14:textId="77777777" w:rsidR="0063742F" w:rsidRPr="002642A6" w:rsidRDefault="0063742F" w:rsidP="00D90CF9">
      <w:pPr>
        <w:keepLines/>
        <w:numPr>
          <w:ilvl w:val="0"/>
          <w:numId w:val="7"/>
        </w:numPr>
        <w:pBdr>
          <w:top w:val="nil"/>
          <w:left w:val="nil"/>
          <w:bottom w:val="nil"/>
          <w:right w:val="nil"/>
          <w:between w:val="nil"/>
        </w:pBdr>
        <w:spacing w:after="120"/>
        <w:rPr>
          <w:rFonts w:eastAsia="Open Sans"/>
          <w:highlight w:val="white"/>
        </w:rPr>
      </w:pPr>
      <w:r w:rsidRPr="008D1584">
        <w:rPr>
          <w:rFonts w:eastAsia="Open Sans"/>
          <w:i/>
          <w:highlight w:val="white"/>
        </w:rPr>
        <w:t>Carrying out the one-stop partner responsibilities including contributing to the infrastructure costs of the one-stop delivery system</w:t>
      </w:r>
      <w:r w:rsidRPr="008D1584">
        <w:rPr>
          <w:rFonts w:eastAsia="Open Sans"/>
          <w:highlight w:val="white"/>
        </w:rPr>
        <w:t>:</w:t>
      </w:r>
      <w:r w:rsidRPr="008D1584">
        <w:rPr>
          <w:rFonts w:eastAsia="Open Sans"/>
          <w:highlight w:val="white"/>
          <w:vertAlign w:val="superscript"/>
        </w:rPr>
        <w:footnoteReference w:id="25"/>
      </w:r>
      <w:r w:rsidRPr="008D1584">
        <w:rPr>
          <w:rFonts w:eastAsia="Open Sans"/>
          <w:highlight w:val="white"/>
        </w:rPr>
        <w:t xml:space="preserve"> expenses required to fulfill the Adult Education program’s financial obligation established by the infrastructure funding agreements at the local American Job Centers.</w:t>
      </w:r>
      <w:r w:rsidRPr="002642A6">
        <w:t xml:space="preserve"> </w:t>
      </w:r>
    </w:p>
    <w:p w14:paraId="6F3D0EDC" w14:textId="77777777" w:rsidR="0063742F" w:rsidRPr="00EE7081" w:rsidRDefault="0063742F" w:rsidP="0063742F">
      <w:pPr>
        <w:pStyle w:val="Heading3"/>
        <w:keepLines/>
      </w:pPr>
    </w:p>
    <w:p w14:paraId="146FF840" w14:textId="77777777" w:rsidR="0063742F" w:rsidRDefault="0063742F" w:rsidP="0063742F">
      <w:pPr>
        <w:pStyle w:val="Heading3"/>
        <w:keepLines/>
      </w:pPr>
      <w:r w:rsidRPr="00EE7081">
        <w:t>Indirect Costs</w:t>
      </w:r>
    </w:p>
    <w:p w14:paraId="26935923" w14:textId="77777777" w:rsidR="0063742F" w:rsidRPr="001D658A" w:rsidRDefault="0063742F" w:rsidP="0063742F">
      <w:pPr>
        <w:keepLines/>
      </w:pPr>
    </w:p>
    <w:p w14:paraId="7DCF5BCB" w14:textId="77777777" w:rsidR="0063742F" w:rsidRPr="00EE7081" w:rsidRDefault="0063742F" w:rsidP="0063742F">
      <w:pPr>
        <w:keepLines/>
        <w:rPr>
          <w:rFonts w:eastAsia="Open Sans"/>
        </w:rPr>
      </w:pPr>
      <w:r w:rsidRPr="00EE7081">
        <w:rPr>
          <w:rFonts w:eastAsia="Open Sans"/>
        </w:rPr>
        <w:t xml:space="preserve">Using an </w:t>
      </w:r>
      <w:r>
        <w:rPr>
          <w:rFonts w:eastAsia="Open Sans"/>
        </w:rPr>
        <w:t>I</w:t>
      </w:r>
      <w:r w:rsidRPr="00EE7081">
        <w:rPr>
          <w:rFonts w:eastAsia="Open Sans"/>
        </w:rPr>
        <w:t xml:space="preserve">ndirect </w:t>
      </w:r>
      <w:r>
        <w:rPr>
          <w:rFonts w:eastAsia="Open Sans"/>
        </w:rPr>
        <w:t>C</w:t>
      </w:r>
      <w:r w:rsidRPr="00EE7081">
        <w:rPr>
          <w:rFonts w:eastAsia="Open Sans"/>
        </w:rPr>
        <w:t xml:space="preserve">ost </w:t>
      </w:r>
      <w:r>
        <w:rPr>
          <w:rFonts w:eastAsia="Open Sans"/>
        </w:rPr>
        <w:t>R</w:t>
      </w:r>
      <w:r w:rsidRPr="00EE7081">
        <w:rPr>
          <w:rFonts w:eastAsia="Open Sans"/>
        </w:rPr>
        <w:t>ate (ICR) is allowable under the Adult Education grant.</w:t>
      </w:r>
      <w:r w:rsidRPr="00EE7081">
        <w:rPr>
          <w:rFonts w:eastAsia="Open Sans"/>
          <w:vertAlign w:val="superscript"/>
        </w:rPr>
        <w:footnoteReference w:id="26"/>
      </w:r>
      <w:r w:rsidRPr="00EE7081">
        <w:rPr>
          <w:rFonts w:eastAsia="Open Sans"/>
        </w:rPr>
        <w:t xml:space="preserve"> However, grantees </w:t>
      </w:r>
      <w:r w:rsidRPr="00EE7081">
        <w:rPr>
          <w:rFonts w:eastAsia="Open Sans"/>
          <w:i/>
        </w:rPr>
        <w:t>must utilize the restricted rate</w:t>
      </w:r>
      <w:r w:rsidRPr="00EE7081">
        <w:rPr>
          <w:rFonts w:eastAsia="Open Sans"/>
        </w:rPr>
        <w:t>.</w:t>
      </w:r>
      <w:r w:rsidRPr="00EE7081">
        <w:rPr>
          <w:rFonts w:eastAsia="Open Sans"/>
          <w:vertAlign w:val="superscript"/>
        </w:rPr>
        <w:footnoteReference w:id="27"/>
      </w:r>
      <w:r w:rsidRPr="00EE7081">
        <w:rPr>
          <w:rFonts w:eastAsia="Open Sans"/>
        </w:rPr>
        <w:t xml:space="preserve"> ICRs (and restricted ICRs) are</w:t>
      </w:r>
      <w:r w:rsidRPr="00EE7081">
        <w:rPr>
          <w:rFonts w:eastAsia="Open Sans"/>
          <w:i/>
        </w:rPr>
        <w:t xml:space="preserve"> </w:t>
      </w:r>
      <w:r w:rsidRPr="00EE7081">
        <w:rPr>
          <w:rFonts w:eastAsia="Open Sans"/>
        </w:rPr>
        <w:t xml:space="preserve">negotiated with the Federal department from which the agency receives the largest portion of its Federal funding; this is known as the “cognizant agency” (e.g., if </w:t>
      </w:r>
      <w:proofErr w:type="gramStart"/>
      <w:r w:rsidRPr="00EE7081">
        <w:rPr>
          <w:rFonts w:eastAsia="Open Sans"/>
        </w:rPr>
        <w:t>the majority of</w:t>
      </w:r>
      <w:proofErr w:type="gramEnd"/>
      <w:r w:rsidRPr="00EE7081">
        <w:rPr>
          <w:rFonts w:eastAsia="Open Sans"/>
        </w:rPr>
        <w:t xml:space="preserve"> an agency’s Federal funding is received from the U.S. Department of Education, the restricted ICR is negotiated with the Department of Education).</w:t>
      </w:r>
    </w:p>
    <w:p w14:paraId="170170E9" w14:textId="77777777" w:rsidR="0063742F" w:rsidRPr="00EE7081" w:rsidRDefault="0063742F" w:rsidP="0063742F">
      <w:pPr>
        <w:keepLines/>
        <w:rPr>
          <w:rFonts w:eastAsia="Open Sans"/>
        </w:rPr>
      </w:pPr>
    </w:p>
    <w:p w14:paraId="5FDFE911" w14:textId="1B61693F" w:rsidR="00722D90" w:rsidRDefault="0063742F" w:rsidP="00917952">
      <w:pPr>
        <w:keepLines/>
        <w:rPr>
          <w:rFonts w:eastAsia="Open Sans"/>
        </w:rPr>
      </w:pPr>
      <w:r w:rsidRPr="00EE7081">
        <w:rPr>
          <w:rFonts w:eastAsia="Open Sans"/>
        </w:rPr>
        <w:t xml:space="preserve">If a grantee charges restricted indirect costs to the Adult Education grant, supporting documentation must be provided to TDLWD upon request. This includes the documentation where the restricted </w:t>
      </w:r>
      <w:r w:rsidR="00352DC4">
        <w:rPr>
          <w:rFonts w:eastAsia="Open Sans"/>
        </w:rPr>
        <w:t>rate</w:t>
      </w:r>
      <w:r w:rsidRPr="00EE7081">
        <w:rPr>
          <w:rFonts w:eastAsia="Open Sans"/>
        </w:rPr>
        <w:t xml:space="preserve"> is established, and records which illustrate how indirect costs were applied for any given invoice. This is to ensure that indirect costs do not conflict with direct costs, and that the Adult Education grant receives the requisite benefit from the indirect rate. Given the restrictions of the Adult Education grant, a </w:t>
      </w:r>
      <w:r w:rsidRPr="00EE7081">
        <w:rPr>
          <w:rFonts w:eastAsia="Open Sans"/>
          <w:i/>
        </w:rPr>
        <w:t xml:space="preserve">de minimis </w:t>
      </w:r>
      <w:r w:rsidRPr="00EE7081">
        <w:rPr>
          <w:rFonts w:eastAsia="Open Sans"/>
        </w:rPr>
        <w:t>rate is not allowed.</w:t>
      </w:r>
    </w:p>
    <w:p w14:paraId="030F4B2A" w14:textId="77777777" w:rsidR="00722D90" w:rsidRDefault="00722D90">
      <w:pPr>
        <w:rPr>
          <w:rFonts w:eastAsia="Open Sans"/>
        </w:rPr>
      </w:pPr>
      <w:r>
        <w:rPr>
          <w:rFonts w:eastAsia="Open Sans"/>
        </w:rPr>
        <w:br w:type="page"/>
      </w:r>
    </w:p>
    <w:p w14:paraId="45631F1E" w14:textId="6A63ADB7" w:rsidR="00917952" w:rsidRPr="00917952" w:rsidRDefault="00917952" w:rsidP="00917952">
      <w:pPr>
        <w:pStyle w:val="Heading2"/>
        <w:rPr>
          <w:rStyle w:val="BookTitle"/>
          <w:rFonts w:eastAsia="Open Sans"/>
          <w:b/>
          <w:bCs w:val="0"/>
          <w:smallCaps w:val="0"/>
          <w:spacing w:val="0"/>
        </w:rPr>
      </w:pPr>
      <w:bookmarkStart w:id="29" w:name="_Toc128579615"/>
      <w:r>
        <w:lastRenderedPageBreak/>
        <w:t>Personnel</w:t>
      </w:r>
      <w:bookmarkEnd w:id="29"/>
    </w:p>
    <w:p w14:paraId="2BFD08D8" w14:textId="77777777" w:rsidR="0063742F" w:rsidRPr="00EE7081" w:rsidRDefault="0063742F" w:rsidP="0063742F">
      <w:pPr>
        <w:keepLines/>
        <w:tabs>
          <w:tab w:val="left" w:pos="-720"/>
          <w:tab w:val="left" w:pos="0"/>
        </w:tabs>
      </w:pPr>
    </w:p>
    <w:p w14:paraId="54D50838" w14:textId="77777777" w:rsidR="006A106B" w:rsidRPr="00EE7081" w:rsidRDefault="006A106B" w:rsidP="006A106B">
      <w:pPr>
        <w:keepLines/>
        <w:tabs>
          <w:tab w:val="left" w:pos="-720"/>
          <w:tab w:val="left" w:pos="0"/>
        </w:tabs>
      </w:pPr>
      <w:proofErr w:type="gramStart"/>
      <w:r w:rsidRPr="00EE7081">
        <w:t>The majority of</w:t>
      </w:r>
      <w:proofErr w:type="gramEnd"/>
      <w:r w:rsidRPr="00EE7081">
        <w:t xml:space="preserve"> the grant funds will be used for hiring and compensating </w:t>
      </w:r>
      <w:r>
        <w:t>personnel, both full-time and part-time,</w:t>
      </w:r>
      <w:r>
        <w:rPr>
          <w:rStyle w:val="FootnoteReference"/>
        </w:rPr>
        <w:footnoteReference w:id="28"/>
      </w:r>
      <w:r>
        <w:t xml:space="preserve"> to develop and operate the Adult Education program. </w:t>
      </w:r>
    </w:p>
    <w:p w14:paraId="0BA938B2" w14:textId="77777777" w:rsidR="006A106B" w:rsidRPr="00EE7081" w:rsidRDefault="006A106B" w:rsidP="006A106B">
      <w:pPr>
        <w:keepLines/>
        <w:tabs>
          <w:tab w:val="left" w:pos="-720"/>
          <w:tab w:val="left" w:pos="0"/>
        </w:tabs>
      </w:pPr>
    </w:p>
    <w:p w14:paraId="75F0AACD" w14:textId="77777777" w:rsidR="006A106B" w:rsidRDefault="006A106B" w:rsidP="006A106B">
      <w:pPr>
        <w:pStyle w:val="Heading3"/>
      </w:pPr>
      <w:r>
        <w:t>Positions, Salaries, &amp; Wages</w:t>
      </w:r>
    </w:p>
    <w:p w14:paraId="2CD565C5" w14:textId="77777777" w:rsidR="006A106B" w:rsidRPr="000D30A7" w:rsidRDefault="006A106B" w:rsidP="006A106B"/>
    <w:p w14:paraId="11AE149B" w14:textId="77777777" w:rsidR="006A106B" w:rsidRDefault="006A106B" w:rsidP="006A106B">
      <w:pPr>
        <w:keepLines/>
      </w:pPr>
      <w:r w:rsidRPr="00902A55">
        <w:t>Grant-holding agencies, as autonomous organizations with internal HR policies, must determine the adult education positions and their associated salary/wage schedules. This determination will set the course for how employees are paid throughout the 4-year grant period; therefore, it’s imperative for agencies to be methodical and equitable in how they establish positions, salaries, and wages. Agency administrators must determine specific employees’ salaries and wages.</w:t>
      </w:r>
    </w:p>
    <w:p w14:paraId="5E593036" w14:textId="77777777" w:rsidR="006A106B" w:rsidRDefault="006A106B" w:rsidP="006A106B">
      <w:pPr>
        <w:keepLines/>
      </w:pPr>
    </w:p>
    <w:p w14:paraId="1E9B6069" w14:textId="77777777" w:rsidR="006A106B" w:rsidRPr="00B510E2" w:rsidRDefault="006A106B" w:rsidP="006A106B">
      <w:pPr>
        <w:keepLines/>
        <w:rPr>
          <w:highlight w:val="yellow"/>
        </w:rPr>
      </w:pPr>
      <w:r>
        <w:t>In general, p</w:t>
      </w:r>
      <w:r w:rsidRPr="00071EF2">
        <w:t xml:space="preserve">ersonnel </w:t>
      </w:r>
      <w:r>
        <w:t>should</w:t>
      </w:r>
      <w:r w:rsidRPr="00071EF2">
        <w:t xml:space="preserve"> be paid the fair market value based on their job responsibilities</w:t>
      </w:r>
      <w:r>
        <w:t xml:space="preserve"> and scope and size of the program. Agencies should also consider</w:t>
      </w:r>
      <w:r w:rsidRPr="00071EF2">
        <w:t xml:space="preserve"> an individual’s experience, merit, and value added when determining compensation.</w:t>
      </w:r>
    </w:p>
    <w:p w14:paraId="49CE58FC" w14:textId="77777777" w:rsidR="006A106B" w:rsidRDefault="006A106B" w:rsidP="006A106B">
      <w:pPr>
        <w:keepLines/>
        <w:rPr>
          <w:bCs/>
          <w:iCs/>
        </w:rPr>
      </w:pPr>
    </w:p>
    <w:p w14:paraId="0C38A845" w14:textId="77777777" w:rsidR="006A106B" w:rsidRDefault="006A106B" w:rsidP="006A106B">
      <w:r>
        <w:t xml:space="preserve">Regarding salary or wage raises, due to grant contracts being executed on a year-by-year basis, and the amount of federal and state funding possibly fluctuating over the course of a grant period, changes to a grantee’s base allocation from year to year will be minimal. The funding allocation will </w:t>
      </w:r>
      <w:r w:rsidRPr="00FF065F">
        <w:rPr>
          <w:i/>
          <w:iCs/>
        </w:rPr>
        <w:t>not</w:t>
      </w:r>
      <w:r>
        <w:t xml:space="preserve"> be automatically increased each year for the purpose of employee raises or step increases. With this caveat, grantees may follow their internal policies and practices concerning raises used for other agency personnel, insofar as their budgets allow.</w:t>
      </w:r>
    </w:p>
    <w:p w14:paraId="749C280B" w14:textId="77777777" w:rsidR="006A106B" w:rsidRDefault="006A106B" w:rsidP="006A106B">
      <w:pPr>
        <w:keepLines/>
        <w:rPr>
          <w:bCs/>
          <w:iCs/>
        </w:rPr>
      </w:pPr>
    </w:p>
    <w:p w14:paraId="25B92B0E" w14:textId="77777777" w:rsidR="006A106B" w:rsidRPr="00071EF2" w:rsidRDefault="006A106B" w:rsidP="006A106B">
      <w:pPr>
        <w:keepLines/>
        <w:rPr>
          <w:bCs/>
          <w:iCs/>
        </w:rPr>
      </w:pPr>
      <w:r w:rsidRPr="00071EF2">
        <w:t>An employee’s overall job responsibilities do not need to be exclusive to this grant; however, personnel-related charges to the grant must be associated with time spent on grant activities.</w:t>
      </w:r>
    </w:p>
    <w:p w14:paraId="4BB571B5" w14:textId="77777777" w:rsidR="006A106B" w:rsidRDefault="006A106B" w:rsidP="006A106B">
      <w:pPr>
        <w:keepLines/>
        <w:rPr>
          <w:bCs/>
          <w:iCs/>
        </w:rPr>
      </w:pPr>
    </w:p>
    <w:p w14:paraId="0AD7FA62" w14:textId="77777777" w:rsidR="006A106B" w:rsidRDefault="006A106B" w:rsidP="006A106B">
      <w:r>
        <w:t>Regarding requirements related to workdays, leave time, overtime, and holidays, personnel must follow the policies and requirements of the grant-holding agency.</w:t>
      </w:r>
    </w:p>
    <w:p w14:paraId="1AAD3BF9" w14:textId="77777777" w:rsidR="006A106B" w:rsidRDefault="006A106B" w:rsidP="006A106B"/>
    <w:p w14:paraId="473D0B85" w14:textId="77777777" w:rsidR="006A106B" w:rsidRPr="00823C6B" w:rsidRDefault="006A106B" w:rsidP="006A106B">
      <w:pPr>
        <w:keepLines/>
      </w:pPr>
      <w:r>
        <w:t>See Appendix C for additional guidance concerning salaries and wages.</w:t>
      </w:r>
    </w:p>
    <w:p w14:paraId="0BEFB7A7" w14:textId="77777777" w:rsidR="006A106B" w:rsidRDefault="006A106B" w:rsidP="006A106B">
      <w:pPr>
        <w:keepLines/>
        <w:rPr>
          <w:bCs/>
          <w:iCs/>
        </w:rPr>
      </w:pPr>
    </w:p>
    <w:p w14:paraId="06652CFB" w14:textId="3E3F1533" w:rsidR="00722D90" w:rsidRDefault="006A106B" w:rsidP="006A106B">
      <w:pPr>
        <w:keepLines/>
        <w:rPr>
          <w:bCs/>
          <w:iCs/>
        </w:rPr>
      </w:pPr>
      <w:r>
        <w:rPr>
          <w:bCs/>
          <w:iCs/>
        </w:rPr>
        <w:t>The following personnel categories are generally what is required to operate an adult education program.</w:t>
      </w:r>
    </w:p>
    <w:p w14:paraId="151D1182" w14:textId="77777777" w:rsidR="00722D90" w:rsidRDefault="00722D90">
      <w:pPr>
        <w:rPr>
          <w:bCs/>
          <w:iCs/>
        </w:rPr>
      </w:pPr>
      <w:r>
        <w:rPr>
          <w:bCs/>
          <w:iCs/>
        </w:rPr>
        <w:br w:type="page"/>
      </w:r>
    </w:p>
    <w:p w14:paraId="3B12BF3F" w14:textId="29DBE25C" w:rsidR="00C51B34" w:rsidRDefault="00C51B34" w:rsidP="00D409A8">
      <w:pPr>
        <w:pStyle w:val="Heading3"/>
      </w:pPr>
      <w:r w:rsidRPr="00071EF2">
        <w:lastRenderedPageBreak/>
        <w:t>Program Directors and Assistant Directors</w:t>
      </w:r>
    </w:p>
    <w:p w14:paraId="1E652480" w14:textId="77777777" w:rsidR="000D30A7" w:rsidRPr="000D30A7" w:rsidRDefault="000D30A7" w:rsidP="000D30A7"/>
    <w:p w14:paraId="5F7AEC4E" w14:textId="1DBD420D" w:rsidR="00DF61BD" w:rsidRDefault="00071EF2" w:rsidP="00071EF2">
      <w:pPr>
        <w:pStyle w:val="Pa9"/>
        <w:keepLines/>
        <w:contextualSpacing/>
        <w:rPr>
          <w:rFonts w:ascii="Open Sans" w:hAnsi="Open Sans"/>
        </w:rPr>
      </w:pPr>
      <w:r w:rsidRPr="00071EF2">
        <w:rPr>
          <w:rFonts w:ascii="Open Sans" w:hAnsi="Open Sans"/>
        </w:rPr>
        <w:t>Grantees</w:t>
      </w:r>
      <w:r w:rsidR="0063742F" w:rsidRPr="00071EF2">
        <w:rPr>
          <w:rFonts w:ascii="Open Sans" w:hAnsi="Open Sans"/>
        </w:rPr>
        <w:t xml:space="preserve"> must designate a staff member to provide oversight </w:t>
      </w:r>
      <w:r w:rsidR="006C29D3" w:rsidRPr="00071EF2">
        <w:rPr>
          <w:rFonts w:ascii="Open Sans" w:hAnsi="Open Sans"/>
        </w:rPr>
        <w:t>and leadership to</w:t>
      </w:r>
      <w:r w:rsidR="0063742F" w:rsidRPr="00071EF2">
        <w:rPr>
          <w:rFonts w:ascii="Open Sans" w:hAnsi="Open Sans"/>
        </w:rPr>
        <w:t xml:space="preserve"> the Adult Education program</w:t>
      </w:r>
      <w:r w:rsidR="007D46EB" w:rsidRPr="00071EF2">
        <w:rPr>
          <w:rFonts w:ascii="Open Sans" w:hAnsi="Open Sans"/>
        </w:rPr>
        <w:t>—considered a “program director”</w:t>
      </w:r>
      <w:r w:rsidR="0063742F" w:rsidRPr="00071EF2">
        <w:rPr>
          <w:rFonts w:ascii="Open Sans" w:hAnsi="Open Sans"/>
        </w:rPr>
        <w:t>.</w:t>
      </w:r>
      <w:r w:rsidR="00C7002D" w:rsidRPr="00071EF2">
        <w:rPr>
          <w:rFonts w:ascii="Open Sans" w:hAnsi="Open Sans"/>
        </w:rPr>
        <w:t xml:space="preserve"> </w:t>
      </w:r>
      <w:r w:rsidR="00C55D22">
        <w:rPr>
          <w:rFonts w:ascii="Open Sans" w:hAnsi="Open Sans"/>
        </w:rPr>
        <w:t xml:space="preserve">A program director </w:t>
      </w:r>
      <w:r w:rsidR="00944D3C">
        <w:rPr>
          <w:rFonts w:ascii="Open Sans" w:hAnsi="Open Sans"/>
        </w:rPr>
        <w:t xml:space="preserve">is </w:t>
      </w:r>
      <w:r w:rsidR="00F01FA3">
        <w:rPr>
          <w:rFonts w:ascii="Open Sans" w:hAnsi="Open Sans"/>
        </w:rPr>
        <w:t>typically an administrator-level position</w:t>
      </w:r>
      <w:r w:rsidR="00417291">
        <w:rPr>
          <w:rFonts w:ascii="Open Sans" w:hAnsi="Open Sans"/>
        </w:rPr>
        <w:t xml:space="preserve"> </w:t>
      </w:r>
      <w:r w:rsidR="00641F38">
        <w:rPr>
          <w:rFonts w:ascii="Open Sans" w:hAnsi="Open Sans"/>
        </w:rPr>
        <w:t>with</w:t>
      </w:r>
      <w:r w:rsidR="00F01FA3">
        <w:rPr>
          <w:rFonts w:ascii="Open Sans" w:hAnsi="Open Sans"/>
        </w:rPr>
        <w:t xml:space="preserve"> </w:t>
      </w:r>
      <w:r w:rsidR="00777617">
        <w:rPr>
          <w:rFonts w:ascii="Open Sans" w:hAnsi="Open Sans"/>
        </w:rPr>
        <w:t xml:space="preserve">a high level of responsibility </w:t>
      </w:r>
      <w:r w:rsidR="00F01FA3">
        <w:rPr>
          <w:rFonts w:ascii="Open Sans" w:hAnsi="Open Sans"/>
        </w:rPr>
        <w:t>to</w:t>
      </w:r>
      <w:r w:rsidR="00417291">
        <w:rPr>
          <w:rFonts w:ascii="Open Sans" w:hAnsi="Open Sans"/>
        </w:rPr>
        <w:t xml:space="preserve"> </w:t>
      </w:r>
      <w:r w:rsidR="002C5BEF">
        <w:rPr>
          <w:rFonts w:ascii="Open Sans" w:hAnsi="Open Sans"/>
        </w:rPr>
        <w:t xml:space="preserve">oversee the grant’s funds, staff, </w:t>
      </w:r>
      <w:r w:rsidR="008056DB">
        <w:rPr>
          <w:rFonts w:ascii="Open Sans" w:hAnsi="Open Sans"/>
        </w:rPr>
        <w:t xml:space="preserve">partnerships, </w:t>
      </w:r>
      <w:r w:rsidR="005A527A">
        <w:rPr>
          <w:rFonts w:ascii="Open Sans" w:hAnsi="Open Sans"/>
        </w:rPr>
        <w:t>out</w:t>
      </w:r>
      <w:r w:rsidR="00C4655E">
        <w:rPr>
          <w:rFonts w:ascii="Open Sans" w:hAnsi="Open Sans"/>
        </w:rPr>
        <w:t>reac</w:t>
      </w:r>
      <w:r w:rsidR="00962D5D">
        <w:rPr>
          <w:rFonts w:ascii="Open Sans" w:hAnsi="Open Sans"/>
        </w:rPr>
        <w:t>h</w:t>
      </w:r>
      <w:r w:rsidR="00300995">
        <w:rPr>
          <w:rFonts w:ascii="Open Sans" w:hAnsi="Open Sans"/>
        </w:rPr>
        <w:t xml:space="preserve">, </w:t>
      </w:r>
      <w:r w:rsidR="002C5BEF">
        <w:rPr>
          <w:rFonts w:ascii="Open Sans" w:hAnsi="Open Sans"/>
        </w:rPr>
        <w:t>and performance.</w:t>
      </w:r>
      <w:r w:rsidR="00417291">
        <w:rPr>
          <w:rFonts w:ascii="Open Sans" w:hAnsi="Open Sans"/>
        </w:rPr>
        <w:t xml:space="preserve"> </w:t>
      </w:r>
      <w:r w:rsidR="00531FD6" w:rsidRPr="00071EF2">
        <w:rPr>
          <w:rFonts w:ascii="Open Sans" w:hAnsi="Open Sans"/>
        </w:rPr>
        <w:t xml:space="preserve">TDLWD </w:t>
      </w:r>
      <w:r w:rsidR="002F2953" w:rsidRPr="00071EF2">
        <w:rPr>
          <w:rFonts w:ascii="Open Sans" w:hAnsi="Open Sans"/>
        </w:rPr>
        <w:t xml:space="preserve">interacts </w:t>
      </w:r>
      <w:r w:rsidR="00437596" w:rsidRPr="00071EF2">
        <w:rPr>
          <w:rFonts w:ascii="Open Sans" w:hAnsi="Open Sans"/>
        </w:rPr>
        <w:t>directly with program directors concerning the grant’s operations</w:t>
      </w:r>
      <w:r w:rsidR="00F425FD" w:rsidRPr="00071EF2">
        <w:rPr>
          <w:rFonts w:ascii="Open Sans" w:hAnsi="Open Sans"/>
        </w:rPr>
        <w:t>.</w:t>
      </w:r>
      <w:r w:rsidR="00F53D9B" w:rsidRPr="00071EF2">
        <w:rPr>
          <w:rFonts w:ascii="Open Sans" w:hAnsi="Open Sans"/>
        </w:rPr>
        <w:t xml:space="preserve"> </w:t>
      </w:r>
      <w:r w:rsidR="0039797F">
        <w:rPr>
          <w:rFonts w:ascii="Open Sans" w:hAnsi="Open Sans"/>
        </w:rPr>
        <w:t>Ideally, the program director is a full-time employee working exclus</w:t>
      </w:r>
      <w:r w:rsidR="00DF61BD">
        <w:rPr>
          <w:rFonts w:ascii="Open Sans" w:hAnsi="Open Sans"/>
        </w:rPr>
        <w:t xml:space="preserve">ively on the Adult Education program. </w:t>
      </w:r>
    </w:p>
    <w:p w14:paraId="65A30236" w14:textId="77777777" w:rsidR="00DF61BD" w:rsidRDefault="00DF61BD" w:rsidP="00071EF2">
      <w:pPr>
        <w:pStyle w:val="Pa9"/>
        <w:keepLines/>
        <w:contextualSpacing/>
        <w:rPr>
          <w:rFonts w:ascii="Open Sans" w:hAnsi="Open Sans"/>
        </w:rPr>
      </w:pPr>
    </w:p>
    <w:p w14:paraId="396EA2EE" w14:textId="09C8564A" w:rsidR="008D3D54" w:rsidRPr="00071EF2" w:rsidRDefault="00AD16CB" w:rsidP="00071EF2">
      <w:pPr>
        <w:pStyle w:val="Pa9"/>
        <w:keepLines/>
        <w:contextualSpacing/>
        <w:rPr>
          <w:rFonts w:ascii="Open Sans" w:hAnsi="Open Sans"/>
        </w:rPr>
      </w:pPr>
      <w:r w:rsidRPr="00071EF2">
        <w:rPr>
          <w:rFonts w:ascii="Open Sans" w:hAnsi="Open Sans"/>
        </w:rPr>
        <w:t>Grantees must also designate</w:t>
      </w:r>
      <w:r w:rsidR="00915BDC" w:rsidRPr="00071EF2">
        <w:rPr>
          <w:rFonts w:ascii="Open Sans" w:hAnsi="Open Sans"/>
        </w:rPr>
        <w:t xml:space="preserve"> one or more staff members</w:t>
      </w:r>
      <w:r w:rsidRPr="00071EF2">
        <w:rPr>
          <w:rFonts w:ascii="Open Sans" w:hAnsi="Open Sans"/>
        </w:rPr>
        <w:t xml:space="preserve"> to act as a</w:t>
      </w:r>
      <w:r w:rsidR="0097781D" w:rsidRPr="00071EF2">
        <w:rPr>
          <w:rFonts w:ascii="Open Sans" w:hAnsi="Open Sans"/>
        </w:rPr>
        <w:t>n “assistant program director”</w:t>
      </w:r>
      <w:r w:rsidR="00867A6C" w:rsidRPr="00071EF2">
        <w:rPr>
          <w:rFonts w:ascii="Open Sans" w:hAnsi="Open Sans"/>
        </w:rPr>
        <w:t xml:space="preserve"> — someone who is</w:t>
      </w:r>
      <w:r w:rsidRPr="00071EF2">
        <w:rPr>
          <w:rFonts w:ascii="Open Sans" w:hAnsi="Open Sans"/>
        </w:rPr>
        <w:t xml:space="preserve"> “second</w:t>
      </w:r>
      <w:r w:rsidR="00867A6C" w:rsidRPr="00071EF2">
        <w:rPr>
          <w:rFonts w:ascii="Open Sans" w:hAnsi="Open Sans"/>
        </w:rPr>
        <w:t xml:space="preserve"> </w:t>
      </w:r>
      <w:r w:rsidRPr="00071EF2">
        <w:rPr>
          <w:rFonts w:ascii="Open Sans" w:hAnsi="Open Sans"/>
        </w:rPr>
        <w:t>in</w:t>
      </w:r>
      <w:r w:rsidR="00867A6C" w:rsidRPr="00071EF2">
        <w:rPr>
          <w:rFonts w:ascii="Open Sans" w:hAnsi="Open Sans"/>
        </w:rPr>
        <w:t xml:space="preserve"> </w:t>
      </w:r>
      <w:r w:rsidRPr="00071EF2">
        <w:rPr>
          <w:rFonts w:ascii="Open Sans" w:hAnsi="Open Sans"/>
        </w:rPr>
        <w:t>command”</w:t>
      </w:r>
      <w:r w:rsidR="00867A6C" w:rsidRPr="00071EF2">
        <w:rPr>
          <w:rFonts w:ascii="Open Sans" w:hAnsi="Open Sans"/>
        </w:rPr>
        <w:t xml:space="preserve"> and </w:t>
      </w:r>
      <w:r w:rsidR="00D5120A" w:rsidRPr="00071EF2">
        <w:rPr>
          <w:rFonts w:ascii="Open Sans" w:hAnsi="Open Sans"/>
        </w:rPr>
        <w:t>will</w:t>
      </w:r>
      <w:r w:rsidR="00122C23" w:rsidRPr="00071EF2">
        <w:rPr>
          <w:rFonts w:ascii="Open Sans" w:hAnsi="Open Sans"/>
        </w:rPr>
        <w:t xml:space="preserve"> be </w:t>
      </w:r>
      <w:r w:rsidR="00B50882" w:rsidRPr="00071EF2">
        <w:rPr>
          <w:rFonts w:ascii="Open Sans" w:hAnsi="Open Sans"/>
        </w:rPr>
        <w:t xml:space="preserve">included </w:t>
      </w:r>
      <w:r w:rsidR="00876B63" w:rsidRPr="00071EF2">
        <w:rPr>
          <w:rFonts w:ascii="Open Sans" w:hAnsi="Open Sans"/>
        </w:rPr>
        <w:t>in</w:t>
      </w:r>
      <w:r w:rsidR="00B50882" w:rsidRPr="00071EF2">
        <w:rPr>
          <w:rFonts w:ascii="Open Sans" w:hAnsi="Open Sans"/>
        </w:rPr>
        <w:t xml:space="preserve"> </w:t>
      </w:r>
      <w:r w:rsidR="00876B63" w:rsidRPr="00071EF2">
        <w:rPr>
          <w:rFonts w:ascii="Open Sans" w:hAnsi="Open Sans"/>
        </w:rPr>
        <w:t xml:space="preserve">most of </w:t>
      </w:r>
      <w:r w:rsidR="00F70D23" w:rsidRPr="00071EF2">
        <w:rPr>
          <w:rFonts w:ascii="Open Sans" w:hAnsi="Open Sans"/>
        </w:rPr>
        <w:t>TDLWD’s interactions with</w:t>
      </w:r>
      <w:r w:rsidR="00687147" w:rsidRPr="00071EF2">
        <w:rPr>
          <w:rFonts w:ascii="Open Sans" w:hAnsi="Open Sans"/>
        </w:rPr>
        <w:t xml:space="preserve"> program directors. This ensures </w:t>
      </w:r>
      <w:r w:rsidR="008D38A6" w:rsidRPr="00071EF2">
        <w:rPr>
          <w:rFonts w:ascii="Open Sans" w:hAnsi="Open Sans"/>
        </w:rPr>
        <w:t xml:space="preserve">TDLWD has multiple </w:t>
      </w:r>
      <w:r w:rsidR="00196BD1" w:rsidRPr="00071EF2">
        <w:rPr>
          <w:rFonts w:ascii="Open Sans" w:hAnsi="Open Sans"/>
        </w:rPr>
        <w:t xml:space="preserve">avenues </w:t>
      </w:r>
      <w:r w:rsidR="008D3D54" w:rsidRPr="00071EF2">
        <w:rPr>
          <w:rFonts w:ascii="Open Sans" w:hAnsi="Open Sans"/>
        </w:rPr>
        <w:t>for</w:t>
      </w:r>
      <w:r w:rsidR="00196BD1" w:rsidRPr="00071EF2">
        <w:rPr>
          <w:rFonts w:ascii="Open Sans" w:hAnsi="Open Sans"/>
        </w:rPr>
        <w:t xml:space="preserve"> communicating </w:t>
      </w:r>
      <w:r w:rsidR="008D3D54" w:rsidRPr="00071EF2">
        <w:rPr>
          <w:rFonts w:ascii="Open Sans" w:hAnsi="Open Sans"/>
        </w:rPr>
        <w:t xml:space="preserve">with </w:t>
      </w:r>
      <w:r w:rsidR="00FF738A" w:rsidRPr="00071EF2">
        <w:rPr>
          <w:rFonts w:ascii="Open Sans" w:hAnsi="Open Sans"/>
        </w:rPr>
        <w:t xml:space="preserve">and </w:t>
      </w:r>
      <w:r w:rsidR="006967DE" w:rsidRPr="00071EF2">
        <w:rPr>
          <w:rFonts w:ascii="Open Sans" w:hAnsi="Open Sans"/>
        </w:rPr>
        <w:t>building</w:t>
      </w:r>
      <w:r w:rsidR="00196BD1" w:rsidRPr="00071EF2">
        <w:rPr>
          <w:rFonts w:ascii="Open Sans" w:hAnsi="Open Sans"/>
        </w:rPr>
        <w:t xml:space="preserve"> local program leadership</w:t>
      </w:r>
      <w:r w:rsidR="008D3D54" w:rsidRPr="00071EF2">
        <w:rPr>
          <w:rFonts w:ascii="Open Sans" w:hAnsi="Open Sans"/>
        </w:rPr>
        <w:t>.</w:t>
      </w:r>
    </w:p>
    <w:p w14:paraId="3E8D82B0" w14:textId="77777777" w:rsidR="00071EF2" w:rsidRPr="00071EF2" w:rsidRDefault="00071EF2" w:rsidP="00071EF2"/>
    <w:p w14:paraId="5C438A00" w14:textId="146ED7C7" w:rsidR="00071EF2" w:rsidRDefault="00E73237" w:rsidP="00D409A8">
      <w:pPr>
        <w:pStyle w:val="Heading3"/>
      </w:pPr>
      <w:r w:rsidRPr="00E73237">
        <w:t>Teachers</w:t>
      </w:r>
    </w:p>
    <w:p w14:paraId="15D9CD1E" w14:textId="77777777" w:rsidR="000D30A7" w:rsidRPr="000D30A7" w:rsidRDefault="000D30A7" w:rsidP="000D30A7"/>
    <w:p w14:paraId="625C9AB4" w14:textId="28DEDFF4" w:rsidR="001B37ED" w:rsidRPr="00EE7081" w:rsidRDefault="00E73237" w:rsidP="001B37ED">
      <w:pPr>
        <w:pStyle w:val="Pa9"/>
        <w:keepLines/>
        <w:contextualSpacing/>
        <w:rPr>
          <w:rFonts w:ascii="Open Sans" w:hAnsi="Open Sans"/>
        </w:rPr>
      </w:pPr>
      <w:r w:rsidRPr="00071EF2">
        <w:rPr>
          <w:rFonts w:ascii="Open Sans" w:hAnsi="Open Sans"/>
        </w:rPr>
        <w:t xml:space="preserve">Grantees must </w:t>
      </w:r>
      <w:r w:rsidR="00F9444E">
        <w:rPr>
          <w:rFonts w:ascii="Open Sans" w:hAnsi="Open Sans"/>
        </w:rPr>
        <w:t>acquire</w:t>
      </w:r>
      <w:r>
        <w:rPr>
          <w:rFonts w:ascii="Open Sans" w:hAnsi="Open Sans"/>
        </w:rPr>
        <w:t xml:space="preserve"> </w:t>
      </w:r>
      <w:r w:rsidR="00316E09">
        <w:rPr>
          <w:rFonts w:ascii="Open Sans" w:hAnsi="Open Sans"/>
        </w:rPr>
        <w:t xml:space="preserve">or designate </w:t>
      </w:r>
      <w:r>
        <w:rPr>
          <w:rFonts w:ascii="Open Sans" w:hAnsi="Open Sans"/>
        </w:rPr>
        <w:t>several teachers</w:t>
      </w:r>
      <w:r w:rsidR="00FB0416">
        <w:rPr>
          <w:rFonts w:ascii="Open Sans" w:hAnsi="Open Sans"/>
        </w:rPr>
        <w:t xml:space="preserve">, full-time and/or part-time, </w:t>
      </w:r>
      <w:r w:rsidR="004E5431">
        <w:rPr>
          <w:rFonts w:ascii="Open Sans" w:hAnsi="Open Sans"/>
        </w:rPr>
        <w:t xml:space="preserve">to </w:t>
      </w:r>
      <w:r w:rsidR="00C84873">
        <w:rPr>
          <w:rFonts w:ascii="Open Sans" w:hAnsi="Open Sans"/>
        </w:rPr>
        <w:t xml:space="preserve">teach </w:t>
      </w:r>
      <w:r w:rsidR="00D50EAE">
        <w:rPr>
          <w:rFonts w:ascii="Open Sans" w:hAnsi="Open Sans"/>
        </w:rPr>
        <w:t>adult education students</w:t>
      </w:r>
      <w:r w:rsidR="00C47C31">
        <w:rPr>
          <w:rFonts w:ascii="Open Sans" w:hAnsi="Open Sans"/>
        </w:rPr>
        <w:t xml:space="preserve">, including </w:t>
      </w:r>
      <w:r w:rsidR="002C133B">
        <w:rPr>
          <w:rFonts w:ascii="Open Sans" w:hAnsi="Open Sans"/>
        </w:rPr>
        <w:t xml:space="preserve">planning </w:t>
      </w:r>
      <w:r w:rsidR="00AF2E30">
        <w:rPr>
          <w:rFonts w:ascii="Open Sans" w:hAnsi="Open Sans"/>
        </w:rPr>
        <w:t>lessons</w:t>
      </w:r>
      <w:r w:rsidR="00395528">
        <w:rPr>
          <w:rFonts w:ascii="Open Sans" w:hAnsi="Open Sans"/>
        </w:rPr>
        <w:t>, managing student learning pathways, managing classrooms</w:t>
      </w:r>
      <w:r w:rsidR="00DD0D41">
        <w:rPr>
          <w:rFonts w:ascii="Open Sans" w:hAnsi="Open Sans"/>
        </w:rPr>
        <w:t xml:space="preserve">, </w:t>
      </w:r>
      <w:r w:rsidR="00CD312E">
        <w:rPr>
          <w:rFonts w:ascii="Open Sans" w:hAnsi="Open Sans"/>
        </w:rPr>
        <w:t>etc. Teac</w:t>
      </w:r>
      <w:r w:rsidR="00540FF1">
        <w:rPr>
          <w:rFonts w:ascii="Open Sans" w:hAnsi="Open Sans"/>
        </w:rPr>
        <w:t xml:space="preserve">hers must </w:t>
      </w:r>
      <w:r w:rsidR="00E62582">
        <w:rPr>
          <w:rFonts w:ascii="Open Sans" w:hAnsi="Open Sans"/>
        </w:rPr>
        <w:t xml:space="preserve">use </w:t>
      </w:r>
      <w:r w:rsidR="00B672F8">
        <w:rPr>
          <w:rFonts w:ascii="Open Sans" w:hAnsi="Open Sans"/>
        </w:rPr>
        <w:t xml:space="preserve">differentiated, standards-based instructional </w:t>
      </w:r>
      <w:r w:rsidR="000731E8">
        <w:rPr>
          <w:rFonts w:ascii="Open Sans" w:hAnsi="Open Sans"/>
        </w:rPr>
        <w:t>me</w:t>
      </w:r>
      <w:r w:rsidR="00505CD4">
        <w:rPr>
          <w:rFonts w:ascii="Open Sans" w:hAnsi="Open Sans"/>
        </w:rPr>
        <w:t>thods</w:t>
      </w:r>
      <w:r w:rsidR="00CC475E">
        <w:rPr>
          <w:rFonts w:ascii="Open Sans" w:hAnsi="Open Sans"/>
        </w:rPr>
        <w:t xml:space="preserve"> and be competent in using </w:t>
      </w:r>
      <w:r w:rsidR="006B76DA">
        <w:rPr>
          <w:rFonts w:ascii="Open Sans" w:hAnsi="Open Sans"/>
        </w:rPr>
        <w:t xml:space="preserve">distance learning and other </w:t>
      </w:r>
      <w:r w:rsidR="00F036EF">
        <w:rPr>
          <w:rFonts w:ascii="Open Sans" w:hAnsi="Open Sans"/>
        </w:rPr>
        <w:t>tec</w:t>
      </w:r>
      <w:r w:rsidR="002C5EE0">
        <w:rPr>
          <w:rFonts w:ascii="Open Sans" w:hAnsi="Open Sans"/>
        </w:rPr>
        <w:t xml:space="preserve">hnologies to facilitate </w:t>
      </w:r>
      <w:r w:rsidR="0058024C">
        <w:rPr>
          <w:rFonts w:ascii="Open Sans" w:hAnsi="Open Sans"/>
        </w:rPr>
        <w:t xml:space="preserve">teaching and learning. </w:t>
      </w:r>
      <w:r w:rsidR="00C737B7">
        <w:rPr>
          <w:rFonts w:ascii="Open Sans" w:hAnsi="Open Sans"/>
        </w:rPr>
        <w:t xml:space="preserve">In general, </w:t>
      </w:r>
      <w:r w:rsidR="001B37ED">
        <w:rPr>
          <w:rFonts w:ascii="Open Sans" w:hAnsi="Open Sans"/>
        </w:rPr>
        <w:t>TDLWD requires</w:t>
      </w:r>
      <w:r w:rsidR="001B37ED" w:rsidRPr="00071EF2">
        <w:rPr>
          <w:rFonts w:ascii="Open Sans" w:hAnsi="Open Sans"/>
        </w:rPr>
        <w:t xml:space="preserve"> that t</w:t>
      </w:r>
      <w:r w:rsidR="001B37ED">
        <w:rPr>
          <w:rFonts w:ascii="Open Sans" w:hAnsi="Open Sans"/>
        </w:rPr>
        <w:t>eachers</w:t>
      </w:r>
      <w:r w:rsidR="001B37ED" w:rsidRPr="00071EF2">
        <w:rPr>
          <w:rFonts w:ascii="Open Sans" w:hAnsi="Open Sans"/>
        </w:rPr>
        <w:t xml:space="preserve"> have a minimum of a bachelor’s degree</w:t>
      </w:r>
      <w:r w:rsidR="00240AFE">
        <w:rPr>
          <w:rFonts w:ascii="Open Sans" w:hAnsi="Open Sans"/>
        </w:rPr>
        <w:t xml:space="preserve"> and</w:t>
      </w:r>
      <w:r w:rsidR="001B37ED" w:rsidRPr="00EE7081">
        <w:rPr>
          <w:rFonts w:ascii="Open Sans" w:hAnsi="Open Sans"/>
        </w:rPr>
        <w:t xml:space="preserve"> a Tennessee educator license</w:t>
      </w:r>
      <w:r w:rsidR="00B11A7B">
        <w:rPr>
          <w:rFonts w:ascii="Open Sans" w:hAnsi="Open Sans"/>
        </w:rPr>
        <w:t xml:space="preserve"> </w:t>
      </w:r>
      <w:r w:rsidR="00FF5C89">
        <w:rPr>
          <w:rFonts w:ascii="Open Sans" w:hAnsi="Open Sans"/>
        </w:rPr>
        <w:t>or</w:t>
      </w:r>
      <w:r w:rsidR="00851561">
        <w:rPr>
          <w:rFonts w:ascii="Open Sans" w:hAnsi="Open Sans"/>
        </w:rPr>
        <w:t xml:space="preserve"> </w:t>
      </w:r>
      <w:r w:rsidR="00E635FF">
        <w:rPr>
          <w:rFonts w:ascii="Open Sans" w:hAnsi="Open Sans"/>
        </w:rPr>
        <w:t>TESOL/TEFL/CELTA</w:t>
      </w:r>
      <w:r w:rsidR="00B516C7">
        <w:rPr>
          <w:rFonts w:ascii="Open Sans" w:hAnsi="Open Sans"/>
        </w:rPr>
        <w:t xml:space="preserve"> </w:t>
      </w:r>
      <w:r w:rsidR="0046090C">
        <w:rPr>
          <w:rFonts w:ascii="Open Sans" w:hAnsi="Open Sans"/>
        </w:rPr>
        <w:t>certification (for ESL teachers)</w:t>
      </w:r>
      <w:r w:rsidR="0047643A">
        <w:rPr>
          <w:rFonts w:ascii="Open Sans" w:hAnsi="Open Sans"/>
        </w:rPr>
        <w:t>. Teachers without licensure or certification may</w:t>
      </w:r>
      <w:r w:rsidR="001B37ED" w:rsidRPr="00EE7081">
        <w:rPr>
          <w:rFonts w:ascii="Open Sans" w:hAnsi="Open Sans"/>
        </w:rPr>
        <w:t xml:space="preserve"> complete the waiver requirements established by </w:t>
      </w:r>
      <w:r w:rsidR="009178BA">
        <w:rPr>
          <w:rFonts w:ascii="Open Sans" w:hAnsi="Open Sans"/>
        </w:rPr>
        <w:t>TDLWD</w:t>
      </w:r>
      <w:r w:rsidR="001B37ED" w:rsidRPr="00EE7081">
        <w:rPr>
          <w:rFonts w:ascii="Open Sans" w:hAnsi="Open Sans"/>
        </w:rPr>
        <w:t>.</w:t>
      </w:r>
    </w:p>
    <w:p w14:paraId="74C22A72" w14:textId="77777777" w:rsidR="009840E3" w:rsidRDefault="009840E3" w:rsidP="00E73237">
      <w:pPr>
        <w:pStyle w:val="Pa9"/>
        <w:keepLines/>
        <w:contextualSpacing/>
        <w:rPr>
          <w:rFonts w:ascii="Open Sans" w:hAnsi="Open Sans"/>
        </w:rPr>
      </w:pPr>
    </w:p>
    <w:p w14:paraId="461E2BBC" w14:textId="146AB000" w:rsidR="009840E3" w:rsidRDefault="009840E3" w:rsidP="00D409A8">
      <w:pPr>
        <w:pStyle w:val="Heading3"/>
      </w:pPr>
      <w:r>
        <w:t>Support Staff</w:t>
      </w:r>
    </w:p>
    <w:p w14:paraId="651B93CE" w14:textId="77777777" w:rsidR="000D30A7" w:rsidRPr="000D30A7" w:rsidRDefault="000D30A7" w:rsidP="000D30A7"/>
    <w:p w14:paraId="4539E561" w14:textId="2CAFDE03" w:rsidR="00E73237" w:rsidRDefault="009840E3" w:rsidP="00F14584">
      <w:r w:rsidRPr="00071EF2">
        <w:t xml:space="preserve">Grantees must </w:t>
      </w:r>
      <w:r>
        <w:t xml:space="preserve">acquire </w:t>
      </w:r>
      <w:r w:rsidR="009570B8">
        <w:t xml:space="preserve">or designate </w:t>
      </w:r>
      <w:r>
        <w:t xml:space="preserve">several </w:t>
      </w:r>
      <w:r w:rsidR="00855EDB">
        <w:t>support staff</w:t>
      </w:r>
      <w:r>
        <w:t>, full-time and/or part-time, to</w:t>
      </w:r>
      <w:r w:rsidR="00103D36">
        <w:t xml:space="preserve"> </w:t>
      </w:r>
      <w:r w:rsidR="00EF241E">
        <w:t>conduct activities such as new</w:t>
      </w:r>
      <w:r w:rsidR="00143B32">
        <w:t>-</w:t>
      </w:r>
      <w:r w:rsidR="00EF241E">
        <w:t xml:space="preserve">student intake/orientation, </w:t>
      </w:r>
      <w:r w:rsidR="00A07A70">
        <w:t xml:space="preserve">assessment administration, data entry, </w:t>
      </w:r>
      <w:r w:rsidR="005A00C2">
        <w:t xml:space="preserve">fiscal support, </w:t>
      </w:r>
      <w:r w:rsidR="00B47D25">
        <w:t>office support, etc</w:t>
      </w:r>
      <w:r>
        <w:t xml:space="preserve">. </w:t>
      </w:r>
      <w:r w:rsidR="00F14584">
        <w:t xml:space="preserve">Support staff </w:t>
      </w:r>
      <w:r w:rsidR="007D6B35">
        <w:t xml:space="preserve">responsibilities may also be </w:t>
      </w:r>
      <w:r w:rsidR="00752C20">
        <w:t>shared by teach</w:t>
      </w:r>
      <w:r w:rsidR="006C2B86">
        <w:t>ers and program leaders as necessary.</w:t>
      </w:r>
    </w:p>
    <w:p w14:paraId="599CB345" w14:textId="77777777" w:rsidR="006C2B86" w:rsidRPr="00835BBE" w:rsidRDefault="006C2B86" w:rsidP="4227134E">
      <w:pPr>
        <w:rPr>
          <w:b/>
          <w:bCs/>
        </w:rPr>
      </w:pPr>
    </w:p>
    <w:p w14:paraId="7BE03CFA" w14:textId="0A2015C4" w:rsidR="006C2B86" w:rsidRDefault="00240E0C" w:rsidP="4227134E">
      <w:pPr>
        <w:pStyle w:val="Heading3"/>
        <w:rPr>
          <w:bCs/>
        </w:rPr>
      </w:pPr>
      <w:r w:rsidRPr="00D4377E">
        <w:rPr>
          <w:bCs/>
        </w:rPr>
        <w:t>Career</w:t>
      </w:r>
      <w:r w:rsidR="00507D01">
        <w:rPr>
          <w:bCs/>
        </w:rPr>
        <w:t xml:space="preserve"> or Success</w:t>
      </w:r>
      <w:r w:rsidRPr="00D4377E">
        <w:rPr>
          <w:bCs/>
        </w:rPr>
        <w:t xml:space="preserve"> Coach</w:t>
      </w:r>
      <w:r w:rsidRPr="00835BBE">
        <w:rPr>
          <w:bCs/>
        </w:rPr>
        <w:t>es</w:t>
      </w:r>
    </w:p>
    <w:p w14:paraId="63B0F411" w14:textId="77777777" w:rsidR="000D30A7" w:rsidRPr="000D30A7" w:rsidRDefault="000D30A7" w:rsidP="000D30A7"/>
    <w:p w14:paraId="0241874F" w14:textId="740FF487" w:rsidR="00722D90" w:rsidRDefault="00240E0C" w:rsidP="00F14584">
      <w:r>
        <w:t xml:space="preserve">Grantees must </w:t>
      </w:r>
      <w:r w:rsidR="00B31625">
        <w:t xml:space="preserve">acquire or </w:t>
      </w:r>
      <w:r w:rsidR="00FD6E03">
        <w:t>designate one or more staff members as “career</w:t>
      </w:r>
      <w:r w:rsidR="0065475C">
        <w:t xml:space="preserve"> </w:t>
      </w:r>
      <w:r w:rsidR="00FD6E03">
        <w:t>coaches”</w:t>
      </w:r>
      <w:r w:rsidR="0065475C">
        <w:t xml:space="preserve"> or “success coaches” or similar moniker</w:t>
      </w:r>
      <w:r w:rsidR="006E4521">
        <w:t xml:space="preserve">. They </w:t>
      </w:r>
      <w:r w:rsidR="0025264A">
        <w:t>are responsible for ensuring students</w:t>
      </w:r>
      <w:r w:rsidR="0015665B">
        <w:t xml:space="preserve"> </w:t>
      </w:r>
      <w:r w:rsidR="0065475C">
        <w:t>have access to supportive</w:t>
      </w:r>
      <w:r w:rsidR="00EB4A65">
        <w:t xml:space="preserve"> and wraparound</w:t>
      </w:r>
      <w:r w:rsidR="0065475C">
        <w:t xml:space="preserve"> services</w:t>
      </w:r>
      <w:r w:rsidR="00AF410A">
        <w:t xml:space="preserve">, </w:t>
      </w:r>
      <w:r w:rsidR="00EB2208">
        <w:t>make care</w:t>
      </w:r>
      <w:r w:rsidR="005F249F">
        <w:t>er plans, learn workforce preparedness skills (such as soft skills and digital literacy)</w:t>
      </w:r>
      <w:r w:rsidR="001413F7">
        <w:t xml:space="preserve">, and have opportunities to participate in workforce development initiatives (such as workplace learning, integrated education and training, </w:t>
      </w:r>
      <w:r w:rsidR="00DA275E">
        <w:t xml:space="preserve">pre-apprenticeship, </w:t>
      </w:r>
      <w:r w:rsidR="00525E7C">
        <w:t>or postsecondary prep programs)</w:t>
      </w:r>
      <w:r w:rsidR="0091416D">
        <w:t>.</w:t>
      </w:r>
    </w:p>
    <w:p w14:paraId="2324D090" w14:textId="77777777" w:rsidR="00722D90" w:rsidRDefault="00722D90">
      <w:r>
        <w:br w:type="page"/>
      </w:r>
    </w:p>
    <w:p w14:paraId="0B3A444E" w14:textId="61160701" w:rsidR="00100D55" w:rsidRDefault="00100D55" w:rsidP="00D409A8">
      <w:pPr>
        <w:pStyle w:val="Heading3"/>
      </w:pPr>
      <w:r>
        <w:lastRenderedPageBreak/>
        <w:t xml:space="preserve">Other </w:t>
      </w:r>
      <w:r w:rsidR="00567FDB">
        <w:t xml:space="preserve">AGENCY </w:t>
      </w:r>
      <w:r>
        <w:t>Staff</w:t>
      </w:r>
    </w:p>
    <w:p w14:paraId="295022D8" w14:textId="77777777" w:rsidR="000D30A7" w:rsidRPr="000D30A7" w:rsidRDefault="000D30A7" w:rsidP="000D30A7"/>
    <w:p w14:paraId="787C5639" w14:textId="39A6D005" w:rsidR="00C8742C" w:rsidRDefault="00164D74" w:rsidP="00BA0E95">
      <w:r>
        <w:t xml:space="preserve">Other staff who </w:t>
      </w:r>
      <w:r w:rsidR="00FE3F54">
        <w:t xml:space="preserve">might </w:t>
      </w:r>
      <w:r w:rsidR="00672A41">
        <w:t>assist in operating the adult education</w:t>
      </w:r>
      <w:r w:rsidR="00AA4019">
        <w:t xml:space="preserve"> </w:t>
      </w:r>
      <w:r w:rsidR="00C67B13">
        <w:t xml:space="preserve">grant include </w:t>
      </w:r>
      <w:r w:rsidR="00E23BDD">
        <w:t xml:space="preserve">an agency’s </w:t>
      </w:r>
      <w:r w:rsidR="00C67B13">
        <w:t>executive leaders, HR staff</w:t>
      </w:r>
      <w:r w:rsidR="00046704">
        <w:t xml:space="preserve">, </w:t>
      </w:r>
      <w:r w:rsidR="008675DB">
        <w:t xml:space="preserve">IT staff, and/or </w:t>
      </w:r>
      <w:r w:rsidR="003443BB">
        <w:t>facilities staff.</w:t>
      </w:r>
    </w:p>
    <w:p w14:paraId="6EAB75E6" w14:textId="77777777" w:rsidR="00704FED" w:rsidRDefault="00704FED" w:rsidP="00BA0E95"/>
    <w:p w14:paraId="48DD9597" w14:textId="77777777" w:rsidR="00B947C6" w:rsidRPr="00EE7081" w:rsidRDefault="00B947C6" w:rsidP="008609F3">
      <w:pPr>
        <w:pStyle w:val="Heading2"/>
      </w:pPr>
      <w:bookmarkStart w:id="30" w:name="_Toc128579616"/>
      <w:r w:rsidRPr="00EE7081">
        <w:t>Data Entry</w:t>
      </w:r>
      <w:bookmarkEnd w:id="30"/>
    </w:p>
    <w:p w14:paraId="77C0ADC0" w14:textId="77777777" w:rsidR="00B947C6" w:rsidRPr="00EE7081" w:rsidRDefault="00B947C6" w:rsidP="00B947C6">
      <w:pPr>
        <w:keepLines/>
        <w:rPr>
          <w:b/>
          <w:smallCaps/>
          <w:spacing w:val="20"/>
        </w:rPr>
      </w:pPr>
    </w:p>
    <w:p w14:paraId="35D68E2B" w14:textId="77777777" w:rsidR="00B947C6" w:rsidRDefault="00B947C6" w:rsidP="00B947C6">
      <w:pPr>
        <w:keepLines/>
      </w:pPr>
      <w:r w:rsidRPr="00EE7081">
        <w:t xml:space="preserve">Grantees must record and track participant </w:t>
      </w:r>
      <w:r>
        <w:t xml:space="preserve">and performance </w:t>
      </w:r>
      <w:r w:rsidRPr="00EE7081">
        <w:t xml:space="preserve">data via the </w:t>
      </w:r>
      <w:r>
        <w:t xml:space="preserve">TDLWD management information system (currently </w:t>
      </w:r>
      <w:r>
        <w:rPr>
          <w:i/>
          <w:iCs/>
        </w:rPr>
        <w:t>Jobs4TN</w:t>
      </w:r>
      <w:r>
        <w:t>)</w:t>
      </w:r>
      <w:r w:rsidRPr="00EE7081">
        <w:t xml:space="preserve"> and adhere to the data integrity requirements established by </w:t>
      </w:r>
      <w:r>
        <w:t>TDLWD</w:t>
      </w:r>
      <w:r w:rsidRPr="00EE7081">
        <w:t>.</w:t>
      </w:r>
      <w:r w:rsidRPr="00EE7081">
        <w:rPr>
          <w:i/>
        </w:rPr>
        <w:t xml:space="preserve"> </w:t>
      </w:r>
      <w:r>
        <w:t xml:space="preserve">TDLWD will assist grantees in getting </w:t>
      </w:r>
      <w:r>
        <w:rPr>
          <w:i/>
          <w:iCs/>
        </w:rPr>
        <w:t>Jobs4TN</w:t>
      </w:r>
      <w:r>
        <w:t xml:space="preserve"> access and training as part of the initial onboarding process after grants are awarded.</w:t>
      </w:r>
    </w:p>
    <w:p w14:paraId="0318E55C" w14:textId="77777777" w:rsidR="00B947C6" w:rsidRDefault="00B947C6" w:rsidP="00B947C6">
      <w:pPr>
        <w:pStyle w:val="Heading2"/>
      </w:pPr>
    </w:p>
    <w:p w14:paraId="6D23B6D0" w14:textId="77777777" w:rsidR="00B947C6" w:rsidRDefault="00B947C6" w:rsidP="008609F3">
      <w:pPr>
        <w:pStyle w:val="Heading2"/>
      </w:pPr>
      <w:bookmarkStart w:id="31" w:name="_Toc128579617"/>
      <w:r w:rsidRPr="00CB46F6">
        <w:t>Monitoring, Records, &amp; Policies</w:t>
      </w:r>
      <w:bookmarkEnd w:id="31"/>
    </w:p>
    <w:p w14:paraId="0E2932D8" w14:textId="77777777" w:rsidR="00B947C6" w:rsidRPr="008E72E7" w:rsidRDefault="00B947C6" w:rsidP="00B947C6"/>
    <w:p w14:paraId="5D903473" w14:textId="109554DC" w:rsidR="00B947C6" w:rsidRPr="001D4078" w:rsidRDefault="00B947C6" w:rsidP="00B947C6">
      <w:pPr>
        <w:keepLines/>
      </w:pPr>
      <w:r w:rsidRPr="001D4078">
        <w:t xml:space="preserve">Grantees will be subject to a program monitoring process conducted by TDLWD. Grantees must retain auditable records of expenditures and accounts related to the grant for a period of </w:t>
      </w:r>
      <w:r w:rsidR="00F1676B">
        <w:t>5</w:t>
      </w:r>
      <w:r w:rsidRPr="001D4078">
        <w:t xml:space="preserve"> years. Student records must be retained for 3</w:t>
      </w:r>
      <w:r w:rsidR="00F1676B">
        <w:t xml:space="preserve"> </w:t>
      </w:r>
      <w:r w:rsidRPr="001D4078">
        <w:t xml:space="preserve">years. </w:t>
      </w:r>
      <w:r w:rsidRPr="001D4078">
        <w:rPr>
          <w:color w:val="000000"/>
        </w:rPr>
        <w:t xml:space="preserve">Records must show that participants who received services conformed with eligibility requirements. </w:t>
      </w:r>
      <w:r w:rsidRPr="001D4078">
        <w:t xml:space="preserve">Grantees must make records available for review by TDLWD upon request. </w:t>
      </w:r>
    </w:p>
    <w:p w14:paraId="00391186" w14:textId="77777777" w:rsidR="00B947C6" w:rsidRPr="00CB46F6" w:rsidRDefault="00B947C6" w:rsidP="00B947C6">
      <w:pPr>
        <w:keepLines/>
        <w:rPr>
          <w:strike/>
        </w:rPr>
      </w:pPr>
    </w:p>
    <w:p w14:paraId="75AE3967" w14:textId="77777777" w:rsidR="0000776F" w:rsidRDefault="00B947C6" w:rsidP="008D4453">
      <w:pPr>
        <w:keepLines/>
      </w:pPr>
      <w:r w:rsidRPr="00FC2EAB">
        <w:t>Grantees are expected to comply with state policies provided by TDLWD concerning the various aspects of managing the grant and providing service delivery. In addition, grantees must comply with state legislation that affects adult education, and federal law and regulations related to WIOA Title II and federal grants. These include, but are not limited to, Title VI of the Civil Rights Act, the Americans with Disabilities Act, FERPA, and the Uniform Guidance</w:t>
      </w:r>
      <w:r>
        <w:t>.</w:t>
      </w:r>
    </w:p>
    <w:p w14:paraId="0430A6E0" w14:textId="77777777" w:rsidR="006D5859" w:rsidRDefault="006D5859" w:rsidP="008D4453">
      <w:pPr>
        <w:keepLines/>
      </w:pPr>
    </w:p>
    <w:p w14:paraId="68D17B7C" w14:textId="4D6734C1" w:rsidR="006D5859" w:rsidRPr="00037AA6" w:rsidRDefault="006D5859" w:rsidP="006D5859">
      <w:pPr>
        <w:pStyle w:val="Heading2"/>
      </w:pPr>
      <w:bookmarkStart w:id="32" w:name="_Toc128579618"/>
      <w:r w:rsidRPr="00037AA6">
        <w:t>Agency Support</w:t>
      </w:r>
      <w:bookmarkEnd w:id="32"/>
    </w:p>
    <w:p w14:paraId="5C49FBB3" w14:textId="77777777" w:rsidR="006D5859" w:rsidRPr="00037AA6" w:rsidRDefault="006D5859" w:rsidP="008D4453">
      <w:pPr>
        <w:keepLines/>
      </w:pPr>
    </w:p>
    <w:p w14:paraId="0A65C032" w14:textId="77777777" w:rsidR="009B7529" w:rsidRDefault="009B7529" w:rsidP="009B7529">
      <w:pPr>
        <w:keepLines/>
        <w:sectPr w:rsidR="009B7529" w:rsidSect="00992302">
          <w:headerReference w:type="default" r:id="rId31"/>
          <w:pgSz w:w="12240" w:h="15840"/>
          <w:pgMar w:top="1440" w:right="1440" w:bottom="1440" w:left="1440" w:header="720" w:footer="720" w:gutter="0"/>
          <w:cols w:space="720"/>
          <w:docGrid w:linePitch="360"/>
        </w:sectPr>
      </w:pPr>
      <w:r w:rsidRPr="00037AA6">
        <w:t>It is expected that grant-holding agencies will provide administrative support to their Adult Education program</w:t>
      </w:r>
      <w:r>
        <w:t xml:space="preserve"> and staff</w:t>
      </w:r>
      <w:r w:rsidRPr="00037AA6">
        <w:t>. This can be in the form of executive leadership and oversight</w:t>
      </w:r>
      <w:r>
        <w:t>;</w:t>
      </w:r>
      <w:r w:rsidRPr="00037AA6">
        <w:t xml:space="preserve"> office or classroom space</w:t>
      </w:r>
      <w:r>
        <w:t>;</w:t>
      </w:r>
      <w:r w:rsidRPr="00037AA6">
        <w:t xml:space="preserve"> offi</w:t>
      </w:r>
      <w:r>
        <w:t xml:space="preserve">ce or classroom furniture and supplies; utilities, maintenance, janitorial, security, etc.; HR, IT, and fiscal assistance; and general advocacy for the program. </w:t>
      </w:r>
      <w:proofErr w:type="gramStart"/>
      <w:r>
        <w:t>All of</w:t>
      </w:r>
      <w:proofErr w:type="gramEnd"/>
      <w:r>
        <w:t xml:space="preserve"> these supports can be charged to the grant, either through direct or indirect costs, in accordance with the grant’s fiscal requirements. However, as feasible, grantees are encouraged and expected to donate some level of administrative support and space to the program without charging to the grant (especially for office and classroom space already owned by the agency). </w:t>
      </w:r>
    </w:p>
    <w:p w14:paraId="497527AD" w14:textId="58C631C0" w:rsidR="000A5595" w:rsidRPr="00EE7081" w:rsidRDefault="000A5595" w:rsidP="00EA0734">
      <w:pPr>
        <w:pStyle w:val="Heading1"/>
        <w:keepNext w:val="0"/>
        <w:keepLines/>
        <w:rPr>
          <w:rStyle w:val="Strong"/>
          <w:rFonts w:ascii="Open Sans" w:hAnsi="Open Sans"/>
          <w:b/>
          <w:bCs w:val="0"/>
        </w:rPr>
      </w:pPr>
      <w:bookmarkStart w:id="33" w:name="_Toc128579619"/>
      <w:r w:rsidRPr="00EE7081">
        <w:rPr>
          <w:rStyle w:val="Strong"/>
          <w:rFonts w:ascii="Open Sans" w:hAnsi="Open Sans"/>
          <w:b/>
          <w:bCs w:val="0"/>
        </w:rPr>
        <w:lastRenderedPageBreak/>
        <w:t>SECTION</w:t>
      </w:r>
      <w:r w:rsidR="00292DD0" w:rsidRPr="00EE7081">
        <w:rPr>
          <w:rStyle w:val="Strong"/>
          <w:rFonts w:ascii="Open Sans" w:hAnsi="Open Sans"/>
          <w:b/>
          <w:bCs w:val="0"/>
        </w:rPr>
        <w:t xml:space="preserve"> </w:t>
      </w:r>
      <w:r w:rsidR="005838B4">
        <w:rPr>
          <w:rStyle w:val="Strong"/>
          <w:rFonts w:ascii="Open Sans" w:hAnsi="Open Sans"/>
          <w:b/>
          <w:bCs w:val="0"/>
        </w:rPr>
        <w:t>5</w:t>
      </w:r>
      <w:r w:rsidRPr="00EE7081">
        <w:rPr>
          <w:rStyle w:val="Strong"/>
          <w:rFonts w:ascii="Open Sans" w:hAnsi="Open Sans"/>
          <w:b/>
          <w:bCs w:val="0"/>
        </w:rPr>
        <w:t xml:space="preserve"> – </w:t>
      </w:r>
      <w:r w:rsidR="00B73497">
        <w:rPr>
          <w:rStyle w:val="Strong"/>
          <w:rFonts w:ascii="Open Sans" w:hAnsi="Open Sans"/>
          <w:b/>
          <w:bCs w:val="0"/>
        </w:rPr>
        <w:t xml:space="preserve">CORE </w:t>
      </w:r>
      <w:r w:rsidR="00965300">
        <w:rPr>
          <w:rStyle w:val="Strong"/>
          <w:rFonts w:ascii="Open Sans" w:hAnsi="Open Sans"/>
          <w:b/>
          <w:bCs w:val="0"/>
        </w:rPr>
        <w:t>PROGRAM</w:t>
      </w:r>
      <w:r w:rsidR="004F0E0A" w:rsidRPr="00EE7081">
        <w:rPr>
          <w:rStyle w:val="Strong"/>
          <w:rFonts w:ascii="Open Sans" w:hAnsi="Open Sans"/>
          <w:b/>
          <w:bCs w:val="0"/>
        </w:rPr>
        <w:t xml:space="preserve"> </w:t>
      </w:r>
      <w:r w:rsidR="00843B3E">
        <w:rPr>
          <w:rStyle w:val="Strong"/>
          <w:rFonts w:ascii="Open Sans" w:hAnsi="Open Sans"/>
          <w:b/>
          <w:bCs w:val="0"/>
        </w:rPr>
        <w:t>DEVELOPMENT</w:t>
      </w:r>
      <w:bookmarkEnd w:id="17"/>
      <w:bookmarkEnd w:id="33"/>
    </w:p>
    <w:p w14:paraId="26CAB457" w14:textId="77777777" w:rsidR="000A5595" w:rsidRPr="00FD5C10" w:rsidRDefault="000A5595" w:rsidP="00EA0734">
      <w:pPr>
        <w:keepLines/>
        <w:rPr>
          <w:rStyle w:val="Heading2Char"/>
          <w:sz w:val="22"/>
          <w:szCs w:val="18"/>
        </w:rPr>
      </w:pPr>
    </w:p>
    <w:p w14:paraId="57BBAB26" w14:textId="330CBAC4" w:rsidR="00C45D51" w:rsidRPr="00975A96" w:rsidRDefault="003139DD" w:rsidP="000B21D8">
      <w:pPr>
        <w:pStyle w:val="Pa9"/>
        <w:keepLines/>
        <w:contextualSpacing/>
        <w:rPr>
          <w:rFonts w:ascii="Open Sans" w:hAnsi="Open Sans"/>
          <w:bCs/>
          <w:iCs/>
          <w:strike/>
          <w:color w:val="000000"/>
        </w:rPr>
      </w:pPr>
      <w:bookmarkStart w:id="34" w:name="_Toc30575332"/>
      <w:r w:rsidRPr="00EE7081">
        <w:rPr>
          <w:rStyle w:val="BookTitle"/>
          <w:rFonts w:ascii="Open Sans" w:hAnsi="Open Sans"/>
          <w:b w:val="0"/>
          <w:bCs w:val="0"/>
          <w:smallCaps w:val="0"/>
          <w:spacing w:val="0"/>
        </w:rPr>
        <w:t xml:space="preserve">This section </w:t>
      </w:r>
      <w:r w:rsidR="00F878E6">
        <w:rPr>
          <w:rStyle w:val="BookTitle"/>
          <w:rFonts w:ascii="Open Sans" w:hAnsi="Open Sans"/>
          <w:b w:val="0"/>
          <w:bCs w:val="0"/>
          <w:smallCaps w:val="0"/>
          <w:spacing w:val="0"/>
        </w:rPr>
        <w:t>describes</w:t>
      </w:r>
      <w:r w:rsidRPr="00EE7081">
        <w:rPr>
          <w:rStyle w:val="BookTitle"/>
          <w:rFonts w:ascii="Open Sans" w:hAnsi="Open Sans"/>
          <w:b w:val="0"/>
          <w:bCs w:val="0"/>
          <w:smallCaps w:val="0"/>
          <w:spacing w:val="0"/>
        </w:rPr>
        <w:t xml:space="preserve"> the </w:t>
      </w:r>
      <w:r w:rsidR="004B53E4">
        <w:rPr>
          <w:rStyle w:val="BookTitle"/>
          <w:rFonts w:ascii="Open Sans" w:hAnsi="Open Sans"/>
          <w:b w:val="0"/>
          <w:bCs w:val="0"/>
          <w:smallCaps w:val="0"/>
          <w:spacing w:val="0"/>
        </w:rPr>
        <w:t>basic</w:t>
      </w:r>
      <w:r w:rsidRPr="00EE7081">
        <w:rPr>
          <w:rStyle w:val="BookTitle"/>
          <w:rFonts w:ascii="Open Sans" w:hAnsi="Open Sans"/>
          <w:b w:val="0"/>
          <w:bCs w:val="0"/>
          <w:smallCaps w:val="0"/>
          <w:spacing w:val="0"/>
        </w:rPr>
        <w:t xml:space="preserve"> requirements of </w:t>
      </w:r>
      <w:r w:rsidR="004B53E4">
        <w:rPr>
          <w:rStyle w:val="BookTitle"/>
          <w:rFonts w:ascii="Open Sans" w:hAnsi="Open Sans"/>
          <w:b w:val="0"/>
          <w:bCs w:val="0"/>
          <w:smallCaps w:val="0"/>
          <w:spacing w:val="0"/>
        </w:rPr>
        <w:t xml:space="preserve">the grant’s service delivery components. TDLWD will </w:t>
      </w:r>
      <w:r w:rsidRPr="00EE7081">
        <w:rPr>
          <w:rStyle w:val="BookTitle"/>
          <w:rFonts w:ascii="Open Sans" w:hAnsi="Open Sans"/>
          <w:b w:val="0"/>
          <w:bCs w:val="0"/>
          <w:smallCaps w:val="0"/>
          <w:spacing w:val="0"/>
        </w:rPr>
        <w:t>provide grantees with policies and guidance that further detail these requirements.</w:t>
      </w:r>
    </w:p>
    <w:p w14:paraId="1718AB22" w14:textId="77777777" w:rsidR="000B21D8" w:rsidRPr="000B21D8" w:rsidRDefault="000B21D8" w:rsidP="000B21D8"/>
    <w:p w14:paraId="2FAC241F" w14:textId="49A9AD19" w:rsidR="00C45D51" w:rsidRPr="001D658A" w:rsidRDefault="00B9709B" w:rsidP="00F71E24">
      <w:pPr>
        <w:pStyle w:val="Heading2"/>
      </w:pPr>
      <w:bookmarkStart w:id="35" w:name="_Toc128579620"/>
      <w:r>
        <w:t>Structure, Outreach, and Intake</w:t>
      </w:r>
      <w:bookmarkEnd w:id="35"/>
    </w:p>
    <w:p w14:paraId="79F283AA" w14:textId="77777777" w:rsidR="00C45D51" w:rsidRPr="001D658A" w:rsidRDefault="00C45D51" w:rsidP="00C45D51">
      <w:pPr>
        <w:keepLines/>
      </w:pPr>
    </w:p>
    <w:p w14:paraId="02181375" w14:textId="36D7C779" w:rsidR="0062512C" w:rsidRDefault="00432B9B" w:rsidP="00432B9B">
      <w:pPr>
        <w:pStyle w:val="Heading3"/>
      </w:pPr>
      <w:r w:rsidRPr="00432B9B">
        <w:t>Facilities, Locations, &amp; Schedules</w:t>
      </w:r>
    </w:p>
    <w:p w14:paraId="26C743F6" w14:textId="77777777" w:rsidR="008F5D73" w:rsidRPr="008F5D73" w:rsidRDefault="008F5D73" w:rsidP="008F5D73"/>
    <w:p w14:paraId="5874D917" w14:textId="419723DF" w:rsidR="001E407F" w:rsidRDefault="0044066F" w:rsidP="00C45D51">
      <w:pPr>
        <w:pStyle w:val="BodyTextIndent2"/>
        <w:keepLines/>
        <w:tabs>
          <w:tab w:val="clear" w:pos="-720"/>
          <w:tab w:val="left" w:pos="0"/>
        </w:tabs>
        <w:suppressAutoHyphens w:val="0"/>
        <w:ind w:left="0"/>
        <w:rPr>
          <w:sz w:val="22"/>
          <w:szCs w:val="22"/>
        </w:rPr>
      </w:pPr>
      <w:r>
        <w:rPr>
          <w:sz w:val="22"/>
          <w:szCs w:val="22"/>
        </w:rPr>
        <w:t xml:space="preserve">As grantees develop and improve </w:t>
      </w:r>
      <w:r w:rsidR="001A3A44">
        <w:rPr>
          <w:sz w:val="22"/>
          <w:szCs w:val="22"/>
        </w:rPr>
        <w:t xml:space="preserve">their </w:t>
      </w:r>
      <w:r>
        <w:rPr>
          <w:sz w:val="22"/>
          <w:szCs w:val="22"/>
        </w:rPr>
        <w:t>adult education program,</w:t>
      </w:r>
      <w:r w:rsidR="00522B3B">
        <w:rPr>
          <w:sz w:val="22"/>
          <w:szCs w:val="22"/>
        </w:rPr>
        <w:t xml:space="preserve"> </w:t>
      </w:r>
      <w:r w:rsidR="00123F86">
        <w:rPr>
          <w:sz w:val="22"/>
          <w:szCs w:val="22"/>
        </w:rPr>
        <w:t xml:space="preserve">they must prioritize maximizing student enrollment. </w:t>
      </w:r>
      <w:r w:rsidR="000B002A">
        <w:rPr>
          <w:sz w:val="22"/>
          <w:szCs w:val="22"/>
        </w:rPr>
        <w:t>T</w:t>
      </w:r>
      <w:r w:rsidR="00573A57">
        <w:rPr>
          <w:sz w:val="22"/>
          <w:szCs w:val="22"/>
        </w:rPr>
        <w:t xml:space="preserve">o </w:t>
      </w:r>
      <w:r w:rsidR="00ED05F1">
        <w:rPr>
          <w:sz w:val="22"/>
          <w:szCs w:val="22"/>
        </w:rPr>
        <w:t xml:space="preserve">maximize enrollment, programs </w:t>
      </w:r>
      <w:r w:rsidR="00E76102">
        <w:rPr>
          <w:sz w:val="22"/>
          <w:szCs w:val="22"/>
        </w:rPr>
        <w:t xml:space="preserve">must </w:t>
      </w:r>
      <w:r w:rsidR="00A73831">
        <w:rPr>
          <w:sz w:val="22"/>
          <w:szCs w:val="22"/>
        </w:rPr>
        <w:t xml:space="preserve">optimize </w:t>
      </w:r>
      <w:r w:rsidR="00F74ADD">
        <w:rPr>
          <w:sz w:val="22"/>
          <w:szCs w:val="22"/>
        </w:rPr>
        <w:t xml:space="preserve">facilities, locations, and schedules </w:t>
      </w:r>
      <w:r w:rsidR="007A37BF">
        <w:rPr>
          <w:sz w:val="22"/>
          <w:szCs w:val="22"/>
        </w:rPr>
        <w:t xml:space="preserve">for service delivery. </w:t>
      </w:r>
      <w:r w:rsidR="003C6D0F">
        <w:rPr>
          <w:sz w:val="22"/>
          <w:szCs w:val="22"/>
        </w:rPr>
        <w:t>The extent of the activities</w:t>
      </w:r>
      <w:r w:rsidR="007A37BF">
        <w:rPr>
          <w:sz w:val="22"/>
          <w:szCs w:val="22"/>
        </w:rPr>
        <w:t xml:space="preserve"> provided, and when and where they are offered,</w:t>
      </w:r>
      <w:r w:rsidR="003C6D0F">
        <w:rPr>
          <w:sz w:val="22"/>
          <w:szCs w:val="22"/>
        </w:rPr>
        <w:t xml:space="preserve"> depends on the need </w:t>
      </w:r>
      <w:r w:rsidR="007A37BF">
        <w:rPr>
          <w:sz w:val="22"/>
          <w:szCs w:val="22"/>
        </w:rPr>
        <w:t xml:space="preserve">of a given area </w:t>
      </w:r>
      <w:r w:rsidR="003C6D0F">
        <w:rPr>
          <w:sz w:val="22"/>
          <w:szCs w:val="22"/>
        </w:rPr>
        <w:t>and</w:t>
      </w:r>
      <w:r w:rsidR="003D1208">
        <w:rPr>
          <w:sz w:val="22"/>
          <w:szCs w:val="22"/>
        </w:rPr>
        <w:t xml:space="preserve"> the</w:t>
      </w:r>
      <w:r w:rsidR="003C6D0F">
        <w:rPr>
          <w:sz w:val="22"/>
          <w:szCs w:val="22"/>
        </w:rPr>
        <w:t xml:space="preserve"> resources available. Grantees are expected to regularly analyze their facilities, locations, and schedules to determine how to best structure </w:t>
      </w:r>
      <w:proofErr w:type="gramStart"/>
      <w:r w:rsidR="003C6D0F">
        <w:rPr>
          <w:sz w:val="22"/>
          <w:szCs w:val="22"/>
        </w:rPr>
        <w:t>in order to</w:t>
      </w:r>
      <w:proofErr w:type="gramEnd"/>
      <w:r w:rsidR="003C6D0F">
        <w:rPr>
          <w:sz w:val="22"/>
          <w:szCs w:val="22"/>
        </w:rPr>
        <w:t xml:space="preserve"> maximize student enrollment.</w:t>
      </w:r>
      <w:r w:rsidR="003D1208">
        <w:rPr>
          <w:sz w:val="22"/>
          <w:szCs w:val="22"/>
        </w:rPr>
        <w:t xml:space="preserve"> In </w:t>
      </w:r>
      <w:r w:rsidR="002B1FC7">
        <w:rPr>
          <w:sz w:val="22"/>
          <w:szCs w:val="22"/>
        </w:rPr>
        <w:t>g</w:t>
      </w:r>
      <w:r w:rsidR="003D1208">
        <w:rPr>
          <w:sz w:val="22"/>
          <w:szCs w:val="22"/>
        </w:rPr>
        <w:t xml:space="preserve">eneral, </w:t>
      </w:r>
      <w:r w:rsidR="00F06EE5">
        <w:rPr>
          <w:sz w:val="22"/>
          <w:szCs w:val="22"/>
        </w:rPr>
        <w:t xml:space="preserve">high-quality facilities </w:t>
      </w:r>
      <w:r w:rsidR="00AF29E2">
        <w:rPr>
          <w:sz w:val="22"/>
          <w:szCs w:val="22"/>
        </w:rPr>
        <w:t>and</w:t>
      </w:r>
      <w:r w:rsidR="002B1FC7">
        <w:rPr>
          <w:sz w:val="22"/>
          <w:szCs w:val="22"/>
        </w:rPr>
        <w:t xml:space="preserve"> a</w:t>
      </w:r>
      <w:r w:rsidR="00AF29E2">
        <w:rPr>
          <w:sz w:val="22"/>
          <w:szCs w:val="22"/>
        </w:rPr>
        <w:t xml:space="preserve"> </w:t>
      </w:r>
      <w:r w:rsidR="00B409A6">
        <w:rPr>
          <w:sz w:val="22"/>
          <w:szCs w:val="22"/>
        </w:rPr>
        <w:t xml:space="preserve">variety of locations and schedules </w:t>
      </w:r>
      <w:r w:rsidR="00AF29E2">
        <w:rPr>
          <w:sz w:val="22"/>
          <w:szCs w:val="22"/>
        </w:rPr>
        <w:t xml:space="preserve">are necessary to </w:t>
      </w:r>
      <w:r w:rsidR="002B1FC7">
        <w:rPr>
          <w:sz w:val="22"/>
          <w:szCs w:val="22"/>
        </w:rPr>
        <w:t>provide a robust program</w:t>
      </w:r>
      <w:r w:rsidR="001D585B">
        <w:rPr>
          <w:sz w:val="22"/>
          <w:szCs w:val="22"/>
        </w:rPr>
        <w:t>.</w:t>
      </w:r>
      <w:r w:rsidR="00660A75">
        <w:rPr>
          <w:sz w:val="22"/>
          <w:szCs w:val="22"/>
        </w:rPr>
        <w:t xml:space="preserve"> TDLWD will provide ongoing guidance concerning </w:t>
      </w:r>
      <w:r w:rsidR="00DB1433">
        <w:rPr>
          <w:sz w:val="22"/>
          <w:szCs w:val="22"/>
        </w:rPr>
        <w:t>expectations for the level of ser</w:t>
      </w:r>
      <w:r w:rsidR="002D2596">
        <w:rPr>
          <w:sz w:val="22"/>
          <w:szCs w:val="22"/>
        </w:rPr>
        <w:t xml:space="preserve">vices </w:t>
      </w:r>
      <w:r w:rsidR="00B241E5">
        <w:rPr>
          <w:sz w:val="22"/>
          <w:szCs w:val="22"/>
        </w:rPr>
        <w:t>offered</w:t>
      </w:r>
      <w:r w:rsidR="00875B89">
        <w:rPr>
          <w:sz w:val="22"/>
          <w:szCs w:val="22"/>
        </w:rPr>
        <w:t xml:space="preserve"> (i.e., the degree to which </w:t>
      </w:r>
      <w:r w:rsidR="007F3A87">
        <w:rPr>
          <w:sz w:val="22"/>
          <w:szCs w:val="22"/>
        </w:rPr>
        <w:t xml:space="preserve">a grantee’s </w:t>
      </w:r>
      <w:r w:rsidR="001B2C3D">
        <w:rPr>
          <w:sz w:val="22"/>
          <w:szCs w:val="22"/>
        </w:rPr>
        <w:t>services</w:t>
      </w:r>
      <w:r w:rsidR="00C00FB7">
        <w:rPr>
          <w:sz w:val="22"/>
          <w:szCs w:val="22"/>
        </w:rPr>
        <w:t xml:space="preserve"> offered </w:t>
      </w:r>
      <w:r w:rsidR="007973B8">
        <w:rPr>
          <w:sz w:val="22"/>
          <w:szCs w:val="22"/>
        </w:rPr>
        <w:t>match the needs of the student population</w:t>
      </w:r>
      <w:r w:rsidR="0004292C">
        <w:rPr>
          <w:sz w:val="22"/>
          <w:szCs w:val="22"/>
        </w:rPr>
        <w:t>, given the budget available).</w:t>
      </w:r>
    </w:p>
    <w:p w14:paraId="79D0F19E" w14:textId="77777777" w:rsidR="001E407F" w:rsidRDefault="001E407F" w:rsidP="00C45D51">
      <w:pPr>
        <w:pStyle w:val="BodyTextIndent2"/>
        <w:keepLines/>
        <w:tabs>
          <w:tab w:val="clear" w:pos="-720"/>
          <w:tab w:val="left" w:pos="0"/>
        </w:tabs>
        <w:suppressAutoHyphens w:val="0"/>
        <w:ind w:left="0"/>
        <w:rPr>
          <w:sz w:val="22"/>
          <w:szCs w:val="22"/>
        </w:rPr>
      </w:pPr>
    </w:p>
    <w:p w14:paraId="1EE85A14" w14:textId="051A565B" w:rsidR="001E407F" w:rsidRPr="0054287E" w:rsidRDefault="001E407F" w:rsidP="008F5D73">
      <w:pPr>
        <w:pStyle w:val="BodyTextIndent2"/>
        <w:keepLines/>
        <w:tabs>
          <w:tab w:val="clear" w:pos="-720"/>
          <w:tab w:val="left" w:pos="0"/>
        </w:tabs>
        <w:suppressAutoHyphens w:val="0"/>
        <w:spacing w:after="120"/>
        <w:ind w:left="0"/>
        <w:rPr>
          <w:i/>
          <w:iCs/>
          <w:sz w:val="20"/>
        </w:rPr>
      </w:pPr>
      <w:r w:rsidRPr="0054287E">
        <w:rPr>
          <w:b/>
          <w:i/>
          <w:iCs/>
          <w:sz w:val="22"/>
          <w:szCs w:val="18"/>
        </w:rPr>
        <w:t>Facilities</w:t>
      </w:r>
    </w:p>
    <w:p w14:paraId="1150BBA1" w14:textId="567BBA86" w:rsidR="00BF0C0B" w:rsidRDefault="00917753" w:rsidP="00C45D51">
      <w:pPr>
        <w:pStyle w:val="BodyTextIndent2"/>
        <w:keepLines/>
        <w:tabs>
          <w:tab w:val="clear" w:pos="-720"/>
          <w:tab w:val="left" w:pos="0"/>
        </w:tabs>
        <w:suppressAutoHyphens w:val="0"/>
        <w:ind w:left="0"/>
        <w:rPr>
          <w:sz w:val="22"/>
          <w:szCs w:val="22"/>
        </w:rPr>
      </w:pPr>
      <w:r w:rsidRPr="00917753">
        <w:rPr>
          <w:sz w:val="22"/>
          <w:szCs w:val="22"/>
        </w:rPr>
        <w:t xml:space="preserve">The primary adult education </w:t>
      </w:r>
      <w:r>
        <w:rPr>
          <w:sz w:val="22"/>
          <w:szCs w:val="22"/>
        </w:rPr>
        <w:t xml:space="preserve">activities are teaching and interacting with </w:t>
      </w:r>
      <w:r w:rsidRPr="00917753">
        <w:rPr>
          <w:sz w:val="22"/>
          <w:szCs w:val="22"/>
        </w:rPr>
        <w:t xml:space="preserve">students. Grantees </w:t>
      </w:r>
      <w:r w:rsidR="000853DF">
        <w:rPr>
          <w:sz w:val="22"/>
          <w:szCs w:val="22"/>
        </w:rPr>
        <w:t>should</w:t>
      </w:r>
      <w:r w:rsidRPr="00917753">
        <w:rPr>
          <w:sz w:val="22"/>
          <w:szCs w:val="22"/>
        </w:rPr>
        <w:t xml:space="preserve"> </w:t>
      </w:r>
      <w:r w:rsidR="006267BA">
        <w:rPr>
          <w:sz w:val="22"/>
          <w:szCs w:val="22"/>
        </w:rPr>
        <w:t>operate</w:t>
      </w:r>
      <w:r w:rsidR="00A55F13">
        <w:rPr>
          <w:sz w:val="22"/>
          <w:szCs w:val="22"/>
        </w:rPr>
        <w:t xml:space="preserve"> services out of</w:t>
      </w:r>
      <w:r w:rsidRPr="00917753">
        <w:rPr>
          <w:sz w:val="22"/>
          <w:szCs w:val="22"/>
        </w:rPr>
        <w:t xml:space="preserve"> </w:t>
      </w:r>
      <w:r w:rsidR="00934E97">
        <w:rPr>
          <w:sz w:val="22"/>
          <w:szCs w:val="22"/>
        </w:rPr>
        <w:t>well-maintained</w:t>
      </w:r>
      <w:r w:rsidR="001625D8">
        <w:rPr>
          <w:sz w:val="22"/>
          <w:szCs w:val="22"/>
        </w:rPr>
        <w:t>, professional,</w:t>
      </w:r>
      <w:r w:rsidR="00C93C49">
        <w:rPr>
          <w:sz w:val="22"/>
          <w:szCs w:val="22"/>
        </w:rPr>
        <w:t xml:space="preserve"> and safe</w:t>
      </w:r>
      <w:r w:rsidRPr="00917753">
        <w:rPr>
          <w:sz w:val="22"/>
          <w:szCs w:val="22"/>
        </w:rPr>
        <w:t xml:space="preserve"> facilities</w:t>
      </w:r>
      <w:r w:rsidR="004F533B">
        <w:rPr>
          <w:sz w:val="22"/>
          <w:szCs w:val="22"/>
        </w:rPr>
        <w:t>.</w:t>
      </w:r>
      <w:r w:rsidR="00C02B78">
        <w:rPr>
          <w:sz w:val="22"/>
          <w:szCs w:val="22"/>
        </w:rPr>
        <w:t xml:space="preserve"> There should be adequate space</w:t>
      </w:r>
      <w:r w:rsidR="000A1152">
        <w:rPr>
          <w:sz w:val="22"/>
          <w:szCs w:val="22"/>
        </w:rPr>
        <w:t>s</w:t>
      </w:r>
      <w:r w:rsidRPr="00917753">
        <w:rPr>
          <w:sz w:val="22"/>
          <w:szCs w:val="22"/>
        </w:rPr>
        <w:t xml:space="preserve"> for student instruction</w:t>
      </w:r>
      <w:r w:rsidR="00031D65">
        <w:rPr>
          <w:sz w:val="22"/>
          <w:szCs w:val="22"/>
        </w:rPr>
        <w:t xml:space="preserve"> and space</w:t>
      </w:r>
      <w:r w:rsidR="000A1152">
        <w:rPr>
          <w:sz w:val="22"/>
          <w:szCs w:val="22"/>
        </w:rPr>
        <w:t xml:space="preserve">s </w:t>
      </w:r>
      <w:r w:rsidR="00031D65">
        <w:rPr>
          <w:sz w:val="22"/>
          <w:szCs w:val="22"/>
        </w:rPr>
        <w:t>to c</w:t>
      </w:r>
      <w:r w:rsidR="00E303C6">
        <w:rPr>
          <w:sz w:val="22"/>
          <w:szCs w:val="22"/>
        </w:rPr>
        <w:t xml:space="preserve">onduct </w:t>
      </w:r>
      <w:r w:rsidR="00EF4140">
        <w:rPr>
          <w:sz w:val="22"/>
          <w:szCs w:val="22"/>
        </w:rPr>
        <w:t>intake</w:t>
      </w:r>
      <w:r w:rsidR="00E50E88">
        <w:rPr>
          <w:sz w:val="22"/>
          <w:szCs w:val="22"/>
        </w:rPr>
        <w:t xml:space="preserve"> activities</w:t>
      </w:r>
      <w:r w:rsidR="005743AC">
        <w:rPr>
          <w:sz w:val="22"/>
          <w:szCs w:val="22"/>
        </w:rPr>
        <w:t xml:space="preserve"> and other student interactions</w:t>
      </w:r>
      <w:r w:rsidR="000B0BB1">
        <w:rPr>
          <w:sz w:val="22"/>
          <w:szCs w:val="22"/>
        </w:rPr>
        <w:t>.</w:t>
      </w:r>
      <w:r w:rsidR="00FD7A63">
        <w:rPr>
          <w:sz w:val="22"/>
          <w:szCs w:val="22"/>
        </w:rPr>
        <w:t xml:space="preserve"> </w:t>
      </w:r>
      <w:r w:rsidR="00B90145">
        <w:rPr>
          <w:sz w:val="22"/>
          <w:szCs w:val="22"/>
        </w:rPr>
        <w:t>F</w:t>
      </w:r>
      <w:r w:rsidR="000D64E9">
        <w:rPr>
          <w:sz w:val="22"/>
          <w:szCs w:val="22"/>
        </w:rPr>
        <w:t>acilities should also include space for storing program supplies and records</w:t>
      </w:r>
      <w:r w:rsidR="00B90145">
        <w:rPr>
          <w:sz w:val="22"/>
          <w:szCs w:val="22"/>
        </w:rPr>
        <w:t>.</w:t>
      </w:r>
    </w:p>
    <w:p w14:paraId="280B3BBF" w14:textId="77777777" w:rsidR="00BF0C0B" w:rsidRDefault="00BF0C0B" w:rsidP="00C45D51">
      <w:pPr>
        <w:pStyle w:val="BodyTextIndent2"/>
        <w:keepLines/>
        <w:tabs>
          <w:tab w:val="clear" w:pos="-720"/>
          <w:tab w:val="left" w:pos="0"/>
        </w:tabs>
        <w:suppressAutoHyphens w:val="0"/>
        <w:ind w:left="0"/>
        <w:rPr>
          <w:sz w:val="22"/>
          <w:szCs w:val="22"/>
        </w:rPr>
      </w:pPr>
    </w:p>
    <w:p w14:paraId="51FFDB30" w14:textId="34C74988" w:rsidR="00BF0C0B" w:rsidRPr="001D658A" w:rsidRDefault="00E307BA" w:rsidP="00BF0C0B">
      <w:pPr>
        <w:pStyle w:val="BodyTextIndent2"/>
        <w:keepLines/>
        <w:tabs>
          <w:tab w:val="clear" w:pos="-720"/>
          <w:tab w:val="left" w:pos="0"/>
        </w:tabs>
        <w:suppressAutoHyphens w:val="0"/>
        <w:ind w:left="0"/>
        <w:rPr>
          <w:sz w:val="22"/>
          <w:szCs w:val="22"/>
        </w:rPr>
      </w:pPr>
      <w:r>
        <w:rPr>
          <w:sz w:val="22"/>
          <w:szCs w:val="22"/>
        </w:rPr>
        <w:t xml:space="preserve">Facilities must be </w:t>
      </w:r>
      <w:r w:rsidR="00BF0C0B" w:rsidRPr="001D658A">
        <w:rPr>
          <w:sz w:val="22"/>
          <w:szCs w:val="22"/>
        </w:rPr>
        <w:t>ADA-</w:t>
      </w:r>
      <w:r w:rsidR="001A741A" w:rsidRPr="001D658A">
        <w:rPr>
          <w:sz w:val="22"/>
          <w:szCs w:val="22"/>
        </w:rPr>
        <w:t>compliant</w:t>
      </w:r>
      <w:r w:rsidR="001A741A">
        <w:rPr>
          <w:sz w:val="22"/>
          <w:szCs w:val="22"/>
        </w:rPr>
        <w:t xml:space="preserve"> and</w:t>
      </w:r>
      <w:r w:rsidR="00414EC1">
        <w:rPr>
          <w:sz w:val="22"/>
          <w:szCs w:val="22"/>
        </w:rPr>
        <w:t xml:space="preserve"> learning environments should be kept in good condition and </w:t>
      </w:r>
      <w:r w:rsidR="00E57E6A">
        <w:rPr>
          <w:sz w:val="22"/>
          <w:szCs w:val="22"/>
        </w:rPr>
        <w:t xml:space="preserve">be </w:t>
      </w:r>
      <w:r w:rsidR="002F7214">
        <w:rPr>
          <w:sz w:val="22"/>
          <w:szCs w:val="22"/>
        </w:rPr>
        <w:t xml:space="preserve">welcoming to </w:t>
      </w:r>
      <w:r w:rsidR="00BF0C0B" w:rsidRPr="001D658A">
        <w:rPr>
          <w:sz w:val="22"/>
          <w:szCs w:val="22"/>
        </w:rPr>
        <w:t xml:space="preserve">adult </w:t>
      </w:r>
      <w:r w:rsidR="002B52A9">
        <w:rPr>
          <w:sz w:val="22"/>
          <w:szCs w:val="22"/>
        </w:rPr>
        <w:t>learner</w:t>
      </w:r>
      <w:r w:rsidR="002F7214">
        <w:rPr>
          <w:sz w:val="22"/>
          <w:szCs w:val="22"/>
        </w:rPr>
        <w:t>s</w:t>
      </w:r>
      <w:r w:rsidR="00BF0C0B" w:rsidRPr="001D658A">
        <w:rPr>
          <w:sz w:val="22"/>
          <w:szCs w:val="22"/>
        </w:rPr>
        <w:t>.</w:t>
      </w:r>
      <w:r w:rsidR="009F6E59">
        <w:rPr>
          <w:sz w:val="22"/>
          <w:szCs w:val="22"/>
        </w:rPr>
        <w:t xml:space="preserve"> </w:t>
      </w:r>
      <w:r w:rsidR="009F6E59" w:rsidRPr="001D658A">
        <w:rPr>
          <w:sz w:val="22"/>
          <w:szCs w:val="22"/>
        </w:rPr>
        <w:t xml:space="preserve">Grantees </w:t>
      </w:r>
      <w:r w:rsidR="00497F53">
        <w:rPr>
          <w:sz w:val="22"/>
          <w:szCs w:val="22"/>
        </w:rPr>
        <w:t>should</w:t>
      </w:r>
      <w:r w:rsidR="005E19AC">
        <w:rPr>
          <w:sz w:val="22"/>
          <w:szCs w:val="22"/>
        </w:rPr>
        <w:t xml:space="preserve"> attempt</w:t>
      </w:r>
      <w:r w:rsidR="00FD4A94">
        <w:rPr>
          <w:sz w:val="22"/>
          <w:szCs w:val="22"/>
        </w:rPr>
        <w:t xml:space="preserve"> to</w:t>
      </w:r>
      <w:r w:rsidR="009F6E59" w:rsidRPr="001D658A">
        <w:rPr>
          <w:sz w:val="22"/>
          <w:szCs w:val="22"/>
        </w:rPr>
        <w:t xml:space="preserve"> </w:t>
      </w:r>
      <w:r w:rsidR="0087145E">
        <w:rPr>
          <w:sz w:val="22"/>
          <w:szCs w:val="22"/>
        </w:rPr>
        <w:t>find and use</w:t>
      </w:r>
      <w:r w:rsidR="002A3002">
        <w:rPr>
          <w:sz w:val="22"/>
          <w:szCs w:val="22"/>
        </w:rPr>
        <w:t xml:space="preserve"> free or </w:t>
      </w:r>
      <w:r w:rsidR="009F6E59" w:rsidRPr="001D658A">
        <w:rPr>
          <w:sz w:val="22"/>
          <w:szCs w:val="22"/>
        </w:rPr>
        <w:t>donated space</w:t>
      </w:r>
      <w:r w:rsidR="002A3002">
        <w:rPr>
          <w:sz w:val="22"/>
          <w:szCs w:val="22"/>
        </w:rPr>
        <w:t xml:space="preserve"> </w:t>
      </w:r>
      <w:r w:rsidR="009F6E59" w:rsidRPr="001D658A">
        <w:rPr>
          <w:sz w:val="22"/>
          <w:szCs w:val="22"/>
        </w:rPr>
        <w:t>before expending funds for rent</w:t>
      </w:r>
      <w:r w:rsidR="0089330C">
        <w:rPr>
          <w:sz w:val="22"/>
          <w:szCs w:val="22"/>
        </w:rPr>
        <w:t xml:space="preserve"> </w:t>
      </w:r>
      <w:r w:rsidR="000C63D4">
        <w:rPr>
          <w:sz w:val="22"/>
          <w:szCs w:val="22"/>
        </w:rPr>
        <w:t>(such as from the grant-holding agency, public libraries, high schools, etc.).</w:t>
      </w:r>
    </w:p>
    <w:p w14:paraId="1B9DD9D9" w14:textId="77777777" w:rsidR="00BF0C0B" w:rsidRDefault="00BF0C0B" w:rsidP="00C45D51">
      <w:pPr>
        <w:pStyle w:val="BodyTextIndent2"/>
        <w:keepLines/>
        <w:tabs>
          <w:tab w:val="clear" w:pos="-720"/>
          <w:tab w:val="left" w:pos="0"/>
        </w:tabs>
        <w:suppressAutoHyphens w:val="0"/>
        <w:ind w:left="0"/>
        <w:rPr>
          <w:sz w:val="22"/>
          <w:szCs w:val="22"/>
        </w:rPr>
      </w:pPr>
    </w:p>
    <w:p w14:paraId="31A108D0" w14:textId="29102A76" w:rsidR="00C45D51" w:rsidRPr="0054287E" w:rsidRDefault="00C15AA6" w:rsidP="008F5D73">
      <w:pPr>
        <w:pStyle w:val="BodyTextIndent2"/>
        <w:keepLines/>
        <w:tabs>
          <w:tab w:val="clear" w:pos="-720"/>
          <w:tab w:val="left" w:pos="0"/>
        </w:tabs>
        <w:suppressAutoHyphens w:val="0"/>
        <w:spacing w:after="120"/>
        <w:ind w:left="0"/>
        <w:rPr>
          <w:i/>
          <w:iCs/>
          <w:sz w:val="20"/>
        </w:rPr>
      </w:pPr>
      <w:r w:rsidRPr="0054287E">
        <w:rPr>
          <w:b/>
          <w:i/>
          <w:iCs/>
          <w:sz w:val="22"/>
          <w:szCs w:val="18"/>
        </w:rPr>
        <w:t>Locations</w:t>
      </w:r>
    </w:p>
    <w:p w14:paraId="4C0E2A08" w14:textId="77777777" w:rsidR="00722D90" w:rsidRDefault="00C7181F" w:rsidP="00C45D51">
      <w:pPr>
        <w:pStyle w:val="BodyTextIndent2"/>
        <w:keepLines/>
        <w:tabs>
          <w:tab w:val="clear" w:pos="-720"/>
          <w:tab w:val="left" w:pos="0"/>
        </w:tabs>
        <w:suppressAutoHyphens w:val="0"/>
        <w:ind w:left="0"/>
        <w:rPr>
          <w:sz w:val="22"/>
          <w:szCs w:val="22"/>
        </w:rPr>
      </w:pPr>
      <w:r>
        <w:rPr>
          <w:sz w:val="22"/>
          <w:szCs w:val="22"/>
        </w:rPr>
        <w:t>Locations for adult education activities should be determined by prio</w:t>
      </w:r>
      <w:r w:rsidR="003654EB">
        <w:rPr>
          <w:sz w:val="22"/>
          <w:szCs w:val="22"/>
        </w:rPr>
        <w:t xml:space="preserve">ritizing </w:t>
      </w:r>
      <w:r w:rsidR="0061015F">
        <w:rPr>
          <w:sz w:val="22"/>
          <w:szCs w:val="22"/>
        </w:rPr>
        <w:t xml:space="preserve">the needs of students: maximizing accessibility and minimizing barriers. </w:t>
      </w:r>
      <w:r w:rsidR="00C45D51" w:rsidRPr="001D658A">
        <w:rPr>
          <w:sz w:val="22"/>
          <w:szCs w:val="22"/>
        </w:rPr>
        <w:t xml:space="preserve">Grantees </w:t>
      </w:r>
      <w:r w:rsidR="002B0C61">
        <w:rPr>
          <w:sz w:val="22"/>
          <w:szCs w:val="22"/>
        </w:rPr>
        <w:t>should</w:t>
      </w:r>
      <w:r w:rsidR="00C45D51" w:rsidRPr="001D658A">
        <w:rPr>
          <w:sz w:val="22"/>
          <w:szCs w:val="22"/>
        </w:rPr>
        <w:t xml:space="preserve"> </w:t>
      </w:r>
      <w:r w:rsidR="00CE0947">
        <w:rPr>
          <w:sz w:val="22"/>
          <w:szCs w:val="22"/>
        </w:rPr>
        <w:t>locate s</w:t>
      </w:r>
      <w:r w:rsidR="00510626">
        <w:rPr>
          <w:sz w:val="22"/>
          <w:szCs w:val="22"/>
        </w:rPr>
        <w:t>ites for service delivery</w:t>
      </w:r>
      <w:r w:rsidR="00095E6D">
        <w:rPr>
          <w:sz w:val="22"/>
          <w:szCs w:val="22"/>
        </w:rPr>
        <w:t xml:space="preserve"> </w:t>
      </w:r>
      <w:r w:rsidR="00253D6E">
        <w:rPr>
          <w:sz w:val="22"/>
          <w:szCs w:val="22"/>
        </w:rPr>
        <w:t xml:space="preserve">in strategic </w:t>
      </w:r>
      <w:r w:rsidR="00ED6FCA">
        <w:rPr>
          <w:sz w:val="22"/>
          <w:szCs w:val="22"/>
        </w:rPr>
        <w:t>locations throughout their service area.</w:t>
      </w:r>
      <w:r w:rsidR="00C45D51" w:rsidRPr="001D658A">
        <w:rPr>
          <w:sz w:val="22"/>
          <w:szCs w:val="22"/>
        </w:rPr>
        <w:t xml:space="preserve"> </w:t>
      </w:r>
      <w:r w:rsidR="000636F1">
        <w:rPr>
          <w:sz w:val="22"/>
          <w:szCs w:val="22"/>
        </w:rPr>
        <w:t xml:space="preserve">Grantees who </w:t>
      </w:r>
      <w:r w:rsidR="00D100AD">
        <w:rPr>
          <w:sz w:val="22"/>
          <w:szCs w:val="22"/>
        </w:rPr>
        <w:t xml:space="preserve">have multiple counties in their area must provide </w:t>
      </w:r>
      <w:r w:rsidR="00CC3AAA">
        <w:rPr>
          <w:sz w:val="22"/>
          <w:szCs w:val="22"/>
        </w:rPr>
        <w:t xml:space="preserve">space </w:t>
      </w:r>
      <w:r w:rsidR="00C45D51" w:rsidRPr="001D658A">
        <w:rPr>
          <w:sz w:val="22"/>
          <w:szCs w:val="22"/>
        </w:rPr>
        <w:t xml:space="preserve">in each </w:t>
      </w:r>
      <w:r w:rsidR="0081526B">
        <w:rPr>
          <w:sz w:val="22"/>
          <w:szCs w:val="22"/>
        </w:rPr>
        <w:t>of their counties</w:t>
      </w:r>
      <w:r w:rsidR="00327111">
        <w:rPr>
          <w:sz w:val="22"/>
          <w:szCs w:val="22"/>
        </w:rPr>
        <w:t>.</w:t>
      </w:r>
      <w:r w:rsidR="00797B2F">
        <w:rPr>
          <w:sz w:val="22"/>
          <w:szCs w:val="22"/>
        </w:rPr>
        <w:t xml:space="preserve"> </w:t>
      </w:r>
    </w:p>
    <w:p w14:paraId="3A576559" w14:textId="4E988409" w:rsidR="00C45D51" w:rsidRDefault="00F74894" w:rsidP="00C45D51">
      <w:pPr>
        <w:pStyle w:val="BodyTextIndent2"/>
        <w:keepLines/>
        <w:tabs>
          <w:tab w:val="clear" w:pos="-720"/>
          <w:tab w:val="left" w:pos="0"/>
        </w:tabs>
        <w:suppressAutoHyphens w:val="0"/>
        <w:ind w:left="0"/>
        <w:rPr>
          <w:sz w:val="22"/>
          <w:szCs w:val="22"/>
        </w:rPr>
      </w:pPr>
      <w:r>
        <w:rPr>
          <w:sz w:val="22"/>
          <w:szCs w:val="22"/>
        </w:rPr>
        <w:lastRenderedPageBreak/>
        <w:t>Especiall</w:t>
      </w:r>
      <w:r w:rsidR="00CB2956">
        <w:rPr>
          <w:sz w:val="22"/>
          <w:szCs w:val="22"/>
        </w:rPr>
        <w:t xml:space="preserve">y in areas with </w:t>
      </w:r>
      <w:r w:rsidR="00E95ED8">
        <w:rPr>
          <w:sz w:val="22"/>
          <w:szCs w:val="22"/>
        </w:rPr>
        <w:t>large potential-to-serve populations</w:t>
      </w:r>
      <w:r w:rsidR="00127B8E">
        <w:rPr>
          <w:sz w:val="22"/>
          <w:szCs w:val="22"/>
        </w:rPr>
        <w:t xml:space="preserve"> (such as major metro areas)</w:t>
      </w:r>
      <w:r w:rsidR="00E95ED8">
        <w:rPr>
          <w:sz w:val="22"/>
          <w:szCs w:val="22"/>
        </w:rPr>
        <w:t xml:space="preserve">, grantees should offer </w:t>
      </w:r>
      <w:r w:rsidR="00252FCC">
        <w:rPr>
          <w:sz w:val="22"/>
          <w:szCs w:val="22"/>
        </w:rPr>
        <w:t xml:space="preserve">services in </w:t>
      </w:r>
      <w:r w:rsidR="00E95ED8">
        <w:rPr>
          <w:sz w:val="22"/>
          <w:szCs w:val="22"/>
        </w:rPr>
        <w:t xml:space="preserve">multiple </w:t>
      </w:r>
      <w:r w:rsidR="00CB2956">
        <w:rPr>
          <w:sz w:val="22"/>
          <w:szCs w:val="22"/>
        </w:rPr>
        <w:t>locations</w:t>
      </w:r>
      <w:r w:rsidR="00454AD4">
        <w:rPr>
          <w:sz w:val="22"/>
          <w:szCs w:val="22"/>
        </w:rPr>
        <w:t>.</w:t>
      </w:r>
      <w:r w:rsidR="00E95ED8">
        <w:rPr>
          <w:sz w:val="22"/>
          <w:szCs w:val="22"/>
        </w:rPr>
        <w:t xml:space="preserve"> </w:t>
      </w:r>
      <w:r w:rsidR="00D95397">
        <w:rPr>
          <w:sz w:val="22"/>
          <w:szCs w:val="22"/>
        </w:rPr>
        <w:t>To the extent possible, g</w:t>
      </w:r>
      <w:r w:rsidR="00A55F26">
        <w:rPr>
          <w:sz w:val="22"/>
          <w:szCs w:val="22"/>
        </w:rPr>
        <w:t xml:space="preserve">rantees should locate </w:t>
      </w:r>
      <w:r w:rsidR="001B3A93">
        <w:rPr>
          <w:sz w:val="22"/>
          <w:szCs w:val="22"/>
        </w:rPr>
        <w:t>at</w:t>
      </w:r>
      <w:r w:rsidR="00E45F1A">
        <w:rPr>
          <w:sz w:val="22"/>
          <w:szCs w:val="22"/>
        </w:rPr>
        <w:t xml:space="preserve"> sites </w:t>
      </w:r>
      <w:r w:rsidR="00362C57">
        <w:rPr>
          <w:sz w:val="22"/>
          <w:szCs w:val="22"/>
        </w:rPr>
        <w:t xml:space="preserve">where </w:t>
      </w:r>
      <w:r w:rsidR="00D95397">
        <w:rPr>
          <w:sz w:val="22"/>
          <w:szCs w:val="22"/>
        </w:rPr>
        <w:t>student populations are most concentrated</w:t>
      </w:r>
      <w:r w:rsidR="008F17AD">
        <w:rPr>
          <w:sz w:val="22"/>
          <w:szCs w:val="22"/>
        </w:rPr>
        <w:t xml:space="preserve"> </w:t>
      </w:r>
      <w:r w:rsidR="001E4AB9">
        <w:rPr>
          <w:sz w:val="22"/>
          <w:szCs w:val="22"/>
        </w:rPr>
        <w:t xml:space="preserve">and should be </w:t>
      </w:r>
      <w:r w:rsidR="00D44A3B">
        <w:rPr>
          <w:sz w:val="22"/>
          <w:szCs w:val="22"/>
        </w:rPr>
        <w:t>near public transportation or community hubs</w:t>
      </w:r>
      <w:r w:rsidR="00D95397">
        <w:rPr>
          <w:sz w:val="22"/>
          <w:szCs w:val="22"/>
        </w:rPr>
        <w:t>.</w:t>
      </w:r>
      <w:r w:rsidR="007F7C5F">
        <w:rPr>
          <w:sz w:val="22"/>
          <w:szCs w:val="22"/>
        </w:rPr>
        <w:t xml:space="preserve"> </w:t>
      </w:r>
    </w:p>
    <w:p w14:paraId="68E7C4BD" w14:textId="77777777" w:rsidR="00691695" w:rsidRDefault="00691695" w:rsidP="00C45D51">
      <w:pPr>
        <w:pStyle w:val="BodyTextIndent2"/>
        <w:keepLines/>
        <w:tabs>
          <w:tab w:val="clear" w:pos="-720"/>
          <w:tab w:val="left" w:pos="0"/>
        </w:tabs>
        <w:suppressAutoHyphens w:val="0"/>
        <w:ind w:left="0"/>
        <w:rPr>
          <w:sz w:val="22"/>
          <w:szCs w:val="22"/>
        </w:rPr>
      </w:pPr>
    </w:p>
    <w:p w14:paraId="68E00F78" w14:textId="55C72D08" w:rsidR="00C15AA6" w:rsidRPr="0054287E" w:rsidRDefault="00C15AA6" w:rsidP="008F5D73">
      <w:pPr>
        <w:pStyle w:val="BodyTextIndent2"/>
        <w:keepLines/>
        <w:tabs>
          <w:tab w:val="clear" w:pos="-720"/>
          <w:tab w:val="left" w:pos="0"/>
        </w:tabs>
        <w:suppressAutoHyphens w:val="0"/>
        <w:spacing w:after="120"/>
        <w:ind w:left="0"/>
        <w:rPr>
          <w:b/>
          <w:bCs/>
          <w:i/>
          <w:iCs/>
          <w:sz w:val="22"/>
          <w:szCs w:val="22"/>
        </w:rPr>
      </w:pPr>
      <w:r w:rsidRPr="0054287E">
        <w:rPr>
          <w:b/>
          <w:bCs/>
          <w:i/>
          <w:iCs/>
          <w:sz w:val="22"/>
          <w:szCs w:val="22"/>
        </w:rPr>
        <w:t>Schedules</w:t>
      </w:r>
    </w:p>
    <w:p w14:paraId="7614B365" w14:textId="6EFE8836" w:rsidR="006554ED" w:rsidRDefault="00691695" w:rsidP="00691695">
      <w:pPr>
        <w:pStyle w:val="BodyTextIndent2"/>
        <w:keepLines/>
        <w:tabs>
          <w:tab w:val="clear" w:pos="-720"/>
          <w:tab w:val="left" w:pos="0"/>
        </w:tabs>
        <w:suppressAutoHyphens w:val="0"/>
        <w:ind w:left="0"/>
        <w:rPr>
          <w:sz w:val="22"/>
          <w:szCs w:val="22"/>
        </w:rPr>
      </w:pPr>
      <w:r w:rsidRPr="001D658A">
        <w:rPr>
          <w:sz w:val="22"/>
          <w:szCs w:val="22"/>
        </w:rPr>
        <w:t>Adult education services must be made available to participants on a year-round basis (including summer months).</w:t>
      </w:r>
      <w:r w:rsidR="003F257E">
        <w:rPr>
          <w:sz w:val="22"/>
          <w:szCs w:val="22"/>
        </w:rPr>
        <w:t xml:space="preserve"> </w:t>
      </w:r>
      <w:r w:rsidR="0080029F">
        <w:rPr>
          <w:sz w:val="22"/>
          <w:szCs w:val="22"/>
        </w:rPr>
        <w:t xml:space="preserve">Many students </w:t>
      </w:r>
      <w:r w:rsidR="00F4614A">
        <w:rPr>
          <w:sz w:val="22"/>
          <w:szCs w:val="22"/>
        </w:rPr>
        <w:t xml:space="preserve">have family and work responsibilities during </w:t>
      </w:r>
      <w:r w:rsidR="00C92180">
        <w:rPr>
          <w:sz w:val="22"/>
          <w:szCs w:val="22"/>
        </w:rPr>
        <w:t>“normal” workday hours</w:t>
      </w:r>
      <w:r w:rsidR="002F38C9">
        <w:rPr>
          <w:sz w:val="22"/>
          <w:szCs w:val="22"/>
        </w:rPr>
        <w:t xml:space="preserve">. </w:t>
      </w:r>
      <w:r w:rsidR="00E45F1A">
        <w:rPr>
          <w:sz w:val="22"/>
          <w:szCs w:val="22"/>
        </w:rPr>
        <w:t>To the extent possible, c</w:t>
      </w:r>
      <w:r w:rsidR="007D4B69">
        <w:rPr>
          <w:sz w:val="22"/>
          <w:szCs w:val="22"/>
        </w:rPr>
        <w:t xml:space="preserve">lasses, intake </w:t>
      </w:r>
      <w:r w:rsidR="002D53CB">
        <w:rPr>
          <w:sz w:val="22"/>
          <w:szCs w:val="22"/>
        </w:rPr>
        <w:t xml:space="preserve">activities, and office hours should be scheduled to accommodate </w:t>
      </w:r>
      <w:r w:rsidR="00E45F1A">
        <w:rPr>
          <w:sz w:val="22"/>
          <w:szCs w:val="22"/>
        </w:rPr>
        <w:t>the needs of students, including o</w:t>
      </w:r>
      <w:r w:rsidR="006554ED" w:rsidRPr="001D658A">
        <w:rPr>
          <w:sz w:val="22"/>
          <w:szCs w:val="22"/>
        </w:rPr>
        <w:t>ffering</w:t>
      </w:r>
      <w:r w:rsidR="007D69DB">
        <w:rPr>
          <w:sz w:val="22"/>
          <w:szCs w:val="22"/>
        </w:rPr>
        <w:t xml:space="preserve"> </w:t>
      </w:r>
      <w:r w:rsidR="00694E46">
        <w:rPr>
          <w:sz w:val="22"/>
          <w:szCs w:val="22"/>
        </w:rPr>
        <w:t xml:space="preserve">services on </w:t>
      </w:r>
      <w:r w:rsidR="007D69DB">
        <w:rPr>
          <w:sz w:val="22"/>
          <w:szCs w:val="22"/>
        </w:rPr>
        <w:t>evening</w:t>
      </w:r>
      <w:r w:rsidR="00694E46">
        <w:rPr>
          <w:sz w:val="22"/>
          <w:szCs w:val="22"/>
        </w:rPr>
        <w:t>s</w:t>
      </w:r>
      <w:r w:rsidR="007D69DB">
        <w:rPr>
          <w:sz w:val="22"/>
          <w:szCs w:val="22"/>
        </w:rPr>
        <w:t xml:space="preserve"> and </w:t>
      </w:r>
      <w:r w:rsidR="006554ED" w:rsidRPr="001D658A">
        <w:rPr>
          <w:sz w:val="22"/>
          <w:szCs w:val="22"/>
        </w:rPr>
        <w:t>weekend</w:t>
      </w:r>
      <w:r w:rsidR="00694E46">
        <w:rPr>
          <w:sz w:val="22"/>
          <w:szCs w:val="22"/>
        </w:rPr>
        <w:t>s.</w:t>
      </w:r>
      <w:r w:rsidR="006C16D1">
        <w:rPr>
          <w:sz w:val="22"/>
          <w:szCs w:val="22"/>
        </w:rPr>
        <w:t xml:space="preserve"> </w:t>
      </w:r>
      <w:r w:rsidR="004613B5">
        <w:rPr>
          <w:sz w:val="22"/>
          <w:szCs w:val="22"/>
        </w:rPr>
        <w:t xml:space="preserve">A class offering is typically structured to occur </w:t>
      </w:r>
      <w:r w:rsidR="00845C06">
        <w:rPr>
          <w:sz w:val="22"/>
          <w:szCs w:val="22"/>
        </w:rPr>
        <w:t>1</w:t>
      </w:r>
      <w:r w:rsidR="0043522C">
        <w:rPr>
          <w:sz w:val="22"/>
          <w:szCs w:val="22"/>
        </w:rPr>
        <w:t>-3</w:t>
      </w:r>
      <w:r w:rsidR="004613B5">
        <w:rPr>
          <w:sz w:val="22"/>
          <w:szCs w:val="22"/>
        </w:rPr>
        <w:t xml:space="preserve"> times </w:t>
      </w:r>
      <w:r w:rsidR="00835949">
        <w:rPr>
          <w:sz w:val="22"/>
          <w:szCs w:val="22"/>
        </w:rPr>
        <w:t>per</w:t>
      </w:r>
      <w:r w:rsidR="004613B5">
        <w:rPr>
          <w:sz w:val="22"/>
          <w:szCs w:val="22"/>
        </w:rPr>
        <w:t xml:space="preserve"> week at the same time</w:t>
      </w:r>
      <w:r w:rsidR="005D157E">
        <w:rPr>
          <w:sz w:val="22"/>
          <w:szCs w:val="22"/>
        </w:rPr>
        <w:t>—for example, a M/W</w:t>
      </w:r>
      <w:r w:rsidR="00835949">
        <w:rPr>
          <w:sz w:val="22"/>
          <w:szCs w:val="22"/>
        </w:rPr>
        <w:t>/F</w:t>
      </w:r>
      <w:r w:rsidR="005D157E">
        <w:rPr>
          <w:sz w:val="22"/>
          <w:szCs w:val="22"/>
        </w:rPr>
        <w:t xml:space="preserve"> 9am-1</w:t>
      </w:r>
      <w:r w:rsidR="00835949">
        <w:rPr>
          <w:sz w:val="22"/>
          <w:szCs w:val="22"/>
        </w:rPr>
        <w:t>1am</w:t>
      </w:r>
      <w:r w:rsidR="005D157E">
        <w:rPr>
          <w:sz w:val="22"/>
          <w:szCs w:val="22"/>
        </w:rPr>
        <w:t xml:space="preserve"> class, or a T/Th </w:t>
      </w:r>
      <w:r w:rsidR="00835949">
        <w:rPr>
          <w:sz w:val="22"/>
          <w:szCs w:val="22"/>
        </w:rPr>
        <w:t>5</w:t>
      </w:r>
      <w:r w:rsidR="001221A4">
        <w:rPr>
          <w:sz w:val="22"/>
          <w:szCs w:val="22"/>
        </w:rPr>
        <w:t>pm-8pm class</w:t>
      </w:r>
      <w:r w:rsidR="00845C06">
        <w:rPr>
          <w:sz w:val="22"/>
          <w:szCs w:val="22"/>
        </w:rPr>
        <w:t>, or a Saturday 9am-12pm class</w:t>
      </w:r>
      <w:r w:rsidR="001221A4">
        <w:rPr>
          <w:sz w:val="22"/>
          <w:szCs w:val="22"/>
        </w:rPr>
        <w:t>.</w:t>
      </w:r>
      <w:r w:rsidR="00B9006A">
        <w:rPr>
          <w:sz w:val="22"/>
          <w:szCs w:val="22"/>
        </w:rPr>
        <w:t xml:space="preserve"> </w:t>
      </w:r>
    </w:p>
    <w:p w14:paraId="117E85E1" w14:textId="77777777" w:rsidR="006F62D2" w:rsidRDefault="006F62D2" w:rsidP="00691695">
      <w:pPr>
        <w:pStyle w:val="BodyTextIndent2"/>
        <w:keepLines/>
        <w:tabs>
          <w:tab w:val="clear" w:pos="-720"/>
          <w:tab w:val="left" w:pos="0"/>
        </w:tabs>
        <w:suppressAutoHyphens w:val="0"/>
        <w:ind w:left="0"/>
        <w:rPr>
          <w:sz w:val="22"/>
          <w:szCs w:val="22"/>
        </w:rPr>
      </w:pPr>
    </w:p>
    <w:p w14:paraId="411E7BD7" w14:textId="6F3BE634" w:rsidR="006F62D2" w:rsidRPr="0054287E" w:rsidRDefault="006F62D2" w:rsidP="008F5D73">
      <w:pPr>
        <w:pStyle w:val="BodyTextIndent2"/>
        <w:keepLines/>
        <w:tabs>
          <w:tab w:val="clear" w:pos="-720"/>
          <w:tab w:val="left" w:pos="0"/>
        </w:tabs>
        <w:suppressAutoHyphens w:val="0"/>
        <w:spacing w:after="120"/>
        <w:ind w:left="0"/>
        <w:rPr>
          <w:b/>
          <w:bCs/>
          <w:i/>
          <w:iCs/>
          <w:sz w:val="22"/>
          <w:szCs w:val="22"/>
        </w:rPr>
      </w:pPr>
      <w:r w:rsidRPr="0054287E">
        <w:rPr>
          <w:b/>
          <w:bCs/>
          <w:i/>
          <w:iCs/>
          <w:sz w:val="22"/>
          <w:szCs w:val="22"/>
        </w:rPr>
        <w:t xml:space="preserve">Distance </w:t>
      </w:r>
      <w:r w:rsidR="00867FCD" w:rsidRPr="0054287E">
        <w:rPr>
          <w:b/>
          <w:bCs/>
          <w:i/>
          <w:iCs/>
          <w:sz w:val="22"/>
          <w:szCs w:val="22"/>
        </w:rPr>
        <w:t>Learning</w:t>
      </w:r>
    </w:p>
    <w:p w14:paraId="0AB0C934" w14:textId="5ED40E35" w:rsidR="006F62D2" w:rsidRPr="006F62D2" w:rsidRDefault="006F62D2" w:rsidP="00691695">
      <w:pPr>
        <w:pStyle w:val="BodyTextIndent2"/>
        <w:keepLines/>
        <w:tabs>
          <w:tab w:val="clear" w:pos="-720"/>
          <w:tab w:val="left" w:pos="0"/>
        </w:tabs>
        <w:suppressAutoHyphens w:val="0"/>
        <w:ind w:left="0"/>
        <w:rPr>
          <w:sz w:val="22"/>
          <w:szCs w:val="22"/>
        </w:rPr>
      </w:pPr>
      <w:r>
        <w:rPr>
          <w:sz w:val="22"/>
          <w:szCs w:val="22"/>
        </w:rPr>
        <w:t xml:space="preserve">To help accommodate </w:t>
      </w:r>
      <w:r w:rsidR="0097513B">
        <w:rPr>
          <w:sz w:val="22"/>
          <w:szCs w:val="22"/>
        </w:rPr>
        <w:t xml:space="preserve">students’ limitations </w:t>
      </w:r>
      <w:r w:rsidR="008A0D32">
        <w:rPr>
          <w:sz w:val="22"/>
          <w:szCs w:val="22"/>
        </w:rPr>
        <w:t xml:space="preserve">with transportation and </w:t>
      </w:r>
      <w:r w:rsidR="00B81C9C">
        <w:rPr>
          <w:sz w:val="22"/>
          <w:szCs w:val="22"/>
        </w:rPr>
        <w:t xml:space="preserve">schedules, grantees must </w:t>
      </w:r>
      <w:r w:rsidR="00495122">
        <w:rPr>
          <w:sz w:val="22"/>
          <w:szCs w:val="22"/>
        </w:rPr>
        <w:t xml:space="preserve">work to offer robust distance </w:t>
      </w:r>
      <w:r w:rsidR="00D36E63">
        <w:rPr>
          <w:sz w:val="22"/>
          <w:szCs w:val="22"/>
        </w:rPr>
        <w:t>learning</w:t>
      </w:r>
      <w:r w:rsidR="00495122">
        <w:rPr>
          <w:sz w:val="22"/>
          <w:szCs w:val="22"/>
        </w:rPr>
        <w:t xml:space="preserve"> option</w:t>
      </w:r>
      <w:r w:rsidR="003C6D0F">
        <w:rPr>
          <w:sz w:val="22"/>
          <w:szCs w:val="22"/>
        </w:rPr>
        <w:t>s</w:t>
      </w:r>
      <w:r w:rsidR="001579D2">
        <w:rPr>
          <w:sz w:val="22"/>
          <w:szCs w:val="22"/>
        </w:rPr>
        <w:t xml:space="preserve"> as</w:t>
      </w:r>
      <w:r w:rsidR="0076622B">
        <w:rPr>
          <w:sz w:val="22"/>
          <w:szCs w:val="22"/>
        </w:rPr>
        <w:t xml:space="preserve"> part of </w:t>
      </w:r>
      <w:r w:rsidR="00E023AD">
        <w:rPr>
          <w:sz w:val="22"/>
          <w:szCs w:val="22"/>
        </w:rPr>
        <w:t>their</w:t>
      </w:r>
      <w:r w:rsidR="0076622B">
        <w:rPr>
          <w:sz w:val="22"/>
          <w:szCs w:val="22"/>
        </w:rPr>
        <w:t xml:space="preserve"> service delivery</w:t>
      </w:r>
      <w:r w:rsidR="00C165C0">
        <w:rPr>
          <w:sz w:val="22"/>
          <w:szCs w:val="22"/>
        </w:rPr>
        <w:t xml:space="preserve">. </w:t>
      </w:r>
      <w:r w:rsidR="001F6EF7">
        <w:rPr>
          <w:sz w:val="22"/>
          <w:szCs w:val="22"/>
        </w:rPr>
        <w:t>This can include</w:t>
      </w:r>
      <w:r w:rsidR="00D53329">
        <w:rPr>
          <w:sz w:val="22"/>
          <w:szCs w:val="22"/>
        </w:rPr>
        <w:t xml:space="preserve"> online intake and assessments</w:t>
      </w:r>
      <w:r w:rsidR="007D092F">
        <w:rPr>
          <w:sz w:val="22"/>
          <w:szCs w:val="22"/>
        </w:rPr>
        <w:t>,</w:t>
      </w:r>
      <w:r w:rsidR="001F6EF7">
        <w:rPr>
          <w:sz w:val="22"/>
          <w:szCs w:val="22"/>
        </w:rPr>
        <w:t xml:space="preserve"> synchronous and asynchronous </w:t>
      </w:r>
      <w:r w:rsidR="00E832DE">
        <w:rPr>
          <w:sz w:val="22"/>
          <w:szCs w:val="22"/>
        </w:rPr>
        <w:t xml:space="preserve">online </w:t>
      </w:r>
      <w:r w:rsidR="006943A5">
        <w:rPr>
          <w:sz w:val="22"/>
          <w:szCs w:val="22"/>
        </w:rPr>
        <w:t>instruction</w:t>
      </w:r>
      <w:r w:rsidR="00E832DE">
        <w:rPr>
          <w:sz w:val="22"/>
          <w:szCs w:val="22"/>
        </w:rPr>
        <w:t>,</w:t>
      </w:r>
      <w:r w:rsidR="00D53329">
        <w:rPr>
          <w:sz w:val="22"/>
          <w:szCs w:val="22"/>
        </w:rPr>
        <w:t xml:space="preserve"> </w:t>
      </w:r>
      <w:r w:rsidR="00E832DE">
        <w:rPr>
          <w:sz w:val="22"/>
          <w:szCs w:val="22"/>
        </w:rPr>
        <w:t xml:space="preserve">and a variety of web-based </w:t>
      </w:r>
      <w:r w:rsidR="00E71FA0">
        <w:rPr>
          <w:sz w:val="22"/>
          <w:szCs w:val="22"/>
        </w:rPr>
        <w:t>curricula.</w:t>
      </w:r>
    </w:p>
    <w:p w14:paraId="3BC1D20B" w14:textId="77777777" w:rsidR="006554ED" w:rsidRDefault="006554ED" w:rsidP="00C45D51">
      <w:pPr>
        <w:pStyle w:val="BodyTextIndent2"/>
        <w:keepLines/>
        <w:tabs>
          <w:tab w:val="clear" w:pos="-720"/>
          <w:tab w:val="left" w:pos="0"/>
        </w:tabs>
        <w:suppressAutoHyphens w:val="0"/>
        <w:ind w:left="0"/>
        <w:rPr>
          <w:sz w:val="22"/>
          <w:szCs w:val="22"/>
        </w:rPr>
      </w:pPr>
    </w:p>
    <w:p w14:paraId="1320A304" w14:textId="6DF48C6C" w:rsidR="00432B9B" w:rsidRPr="00432B9B" w:rsidRDefault="00DB1EF6" w:rsidP="00432B9B">
      <w:pPr>
        <w:pStyle w:val="Heading3"/>
      </w:pPr>
      <w:r>
        <w:t>Program Outreach</w:t>
      </w:r>
      <w:r w:rsidR="001B3183">
        <w:t xml:space="preserve"> </w:t>
      </w:r>
      <w:r w:rsidR="00427A56">
        <w:t>&amp; Advertising</w:t>
      </w:r>
    </w:p>
    <w:p w14:paraId="395B083D" w14:textId="77777777" w:rsidR="00C45D51" w:rsidRPr="00C45D51" w:rsidRDefault="00C45D51" w:rsidP="00C45D51"/>
    <w:bookmarkEnd w:id="34"/>
    <w:p w14:paraId="30539209" w14:textId="1443323B" w:rsidR="0055128A" w:rsidRDefault="00C02641" w:rsidP="00EA0734">
      <w:pPr>
        <w:keepLines/>
      </w:pPr>
      <w:r>
        <w:t>G</w:t>
      </w:r>
      <w:r w:rsidR="00287B48">
        <w:t xml:space="preserve">rantees </w:t>
      </w:r>
      <w:r>
        <w:t>can</w:t>
      </w:r>
      <w:r w:rsidR="00287B48">
        <w:t xml:space="preserve"> </w:t>
      </w:r>
      <w:r w:rsidR="00740E2A">
        <w:t xml:space="preserve">help </w:t>
      </w:r>
      <w:r w:rsidR="004F7EFD">
        <w:t>maximize</w:t>
      </w:r>
      <w:r w:rsidR="00084195">
        <w:t xml:space="preserve"> student</w:t>
      </w:r>
      <w:r w:rsidR="004F7EFD">
        <w:t xml:space="preserve"> enrollment</w:t>
      </w:r>
      <w:r w:rsidR="00084195">
        <w:t xml:space="preserve"> in the program</w:t>
      </w:r>
      <w:r w:rsidR="005A2F6C">
        <w:t xml:space="preserve"> through </w:t>
      </w:r>
      <w:r w:rsidR="00A36B18">
        <w:t xml:space="preserve">robust program outreach and advertising. </w:t>
      </w:r>
      <w:r w:rsidR="00101F68">
        <w:t>Grantees</w:t>
      </w:r>
      <w:r w:rsidR="00F702E7">
        <w:t xml:space="preserve"> must prioritiz</w:t>
      </w:r>
      <w:r w:rsidR="00FE49C4">
        <w:t xml:space="preserve">e </w:t>
      </w:r>
      <w:r w:rsidR="00092804">
        <w:t xml:space="preserve">“getting the word out” about </w:t>
      </w:r>
      <w:r w:rsidR="00015099">
        <w:t>their</w:t>
      </w:r>
      <w:r w:rsidR="00092804">
        <w:t xml:space="preserve"> </w:t>
      </w:r>
      <w:r w:rsidR="00015099">
        <w:t>A</w:t>
      </w:r>
      <w:r w:rsidR="00092804">
        <w:t xml:space="preserve">dult </w:t>
      </w:r>
      <w:r w:rsidR="00015099">
        <w:t>E</w:t>
      </w:r>
      <w:r w:rsidR="00092804">
        <w:t xml:space="preserve">ducation program in the communities throughout their service area. </w:t>
      </w:r>
      <w:r w:rsidR="00AE7056">
        <w:t xml:space="preserve">Program leaders should advocate for </w:t>
      </w:r>
      <w:r w:rsidR="00295C04">
        <w:t xml:space="preserve">the program and </w:t>
      </w:r>
      <w:r w:rsidR="00452AF4">
        <w:t xml:space="preserve">its offerings with various </w:t>
      </w:r>
      <w:r w:rsidR="006B51B6">
        <w:t xml:space="preserve">stakeholders </w:t>
      </w:r>
      <w:r w:rsidR="008A4CAD">
        <w:t>in the area. This includes</w:t>
      </w:r>
      <w:r w:rsidR="00DB58AB">
        <w:t xml:space="preserve"> local employers,</w:t>
      </w:r>
      <w:r w:rsidR="002F23F3">
        <w:t xml:space="preserve"> </w:t>
      </w:r>
      <w:r w:rsidR="005E29D5">
        <w:t>K-12</w:t>
      </w:r>
      <w:r w:rsidR="00CC391A">
        <w:t xml:space="preserve"> school administrators, TCAT and communit</w:t>
      </w:r>
      <w:r w:rsidR="00E05F84">
        <w:t>y college administrators,</w:t>
      </w:r>
      <w:r w:rsidR="00FE7266">
        <w:t xml:space="preserve"> local</w:t>
      </w:r>
      <w:r w:rsidR="00E05F84">
        <w:t xml:space="preserve"> </w:t>
      </w:r>
      <w:r w:rsidR="00596B2E">
        <w:t>elected officials, nonprofit organizations</w:t>
      </w:r>
      <w:r w:rsidR="00DB58AB">
        <w:t xml:space="preserve">, </w:t>
      </w:r>
      <w:r w:rsidR="00F23AEA">
        <w:t xml:space="preserve">and </w:t>
      </w:r>
      <w:r w:rsidR="009A7FF9">
        <w:t xml:space="preserve">local workforce development boards and </w:t>
      </w:r>
      <w:r w:rsidR="00542BDB">
        <w:t>WIOA partner programs</w:t>
      </w:r>
      <w:r w:rsidR="00F23AEA">
        <w:t>.</w:t>
      </w:r>
    </w:p>
    <w:p w14:paraId="11E34E4D" w14:textId="77777777" w:rsidR="00CE3078" w:rsidRDefault="00CE3078" w:rsidP="00EA0734">
      <w:pPr>
        <w:keepLines/>
      </w:pPr>
    </w:p>
    <w:p w14:paraId="1AE5CA7E" w14:textId="37F5C913" w:rsidR="00CE3078" w:rsidRDefault="00CE3078" w:rsidP="00EA0734">
      <w:pPr>
        <w:keepLines/>
      </w:pPr>
      <w:r>
        <w:t>Grantees should also use re</w:t>
      </w:r>
      <w:r w:rsidR="00240E98">
        <w:t xml:space="preserve">sources to produce </w:t>
      </w:r>
      <w:r w:rsidR="005E4A77">
        <w:t xml:space="preserve">print and digital </w:t>
      </w:r>
      <w:r w:rsidR="00DA37B4">
        <w:t xml:space="preserve">advertising such as </w:t>
      </w:r>
      <w:r w:rsidR="006803AC">
        <w:t xml:space="preserve">fliers, </w:t>
      </w:r>
      <w:r w:rsidR="00BD2FCA">
        <w:t>yard signs, billb</w:t>
      </w:r>
      <w:r w:rsidR="00A603F2">
        <w:t xml:space="preserve">oards, websites, </w:t>
      </w:r>
      <w:r w:rsidR="007A7F83">
        <w:t xml:space="preserve">radio ads, etc. </w:t>
      </w:r>
      <w:r w:rsidR="009B1EE8">
        <w:t xml:space="preserve">to promote the </w:t>
      </w:r>
      <w:r w:rsidR="005D5857">
        <w:t>A</w:t>
      </w:r>
      <w:r w:rsidR="00260C0F">
        <w:t xml:space="preserve">dult </w:t>
      </w:r>
      <w:r w:rsidR="005D5857">
        <w:t>E</w:t>
      </w:r>
      <w:r w:rsidR="00260C0F">
        <w:t>ducat</w:t>
      </w:r>
      <w:r w:rsidR="00D1609F">
        <w:t xml:space="preserve">ion program throughout their service </w:t>
      </w:r>
      <w:r w:rsidR="00FD401F">
        <w:t xml:space="preserve">area. TDLWD will provide ongoing guidance and in-house </w:t>
      </w:r>
      <w:r w:rsidR="00062634">
        <w:t xml:space="preserve">expertise concerning </w:t>
      </w:r>
      <w:r w:rsidR="00C0588B">
        <w:t xml:space="preserve">outreach </w:t>
      </w:r>
      <w:r w:rsidR="001D1364">
        <w:t xml:space="preserve">and advertising options and </w:t>
      </w:r>
      <w:r w:rsidR="001D697D">
        <w:t>parameters.</w:t>
      </w:r>
    </w:p>
    <w:p w14:paraId="3B90BF0A" w14:textId="77777777" w:rsidR="00660A75" w:rsidRDefault="00660A75" w:rsidP="00EA0734">
      <w:pPr>
        <w:keepLines/>
      </w:pPr>
    </w:p>
    <w:p w14:paraId="33A3CF2B" w14:textId="7D0B2848" w:rsidR="00B87822" w:rsidRDefault="00B87822" w:rsidP="00B87822">
      <w:pPr>
        <w:pStyle w:val="Heading3"/>
      </w:pPr>
      <w:r>
        <w:t>Int</w:t>
      </w:r>
      <w:r w:rsidR="00212478">
        <w:t>ake &amp; orientation</w:t>
      </w:r>
    </w:p>
    <w:p w14:paraId="33B0C8F0" w14:textId="77777777" w:rsidR="00943156" w:rsidRDefault="00943156" w:rsidP="00943156"/>
    <w:p w14:paraId="0B985AFA" w14:textId="4634DFF7" w:rsidR="00943156" w:rsidRPr="00943156" w:rsidRDefault="00F333D0" w:rsidP="00943156">
      <w:r>
        <w:t xml:space="preserve">To ensure </w:t>
      </w:r>
      <w:r w:rsidR="00454B38">
        <w:t xml:space="preserve">students enroll </w:t>
      </w:r>
      <w:r w:rsidR="0090799F">
        <w:t xml:space="preserve">and participate </w:t>
      </w:r>
      <w:r w:rsidR="00454B38">
        <w:t xml:space="preserve">in the </w:t>
      </w:r>
      <w:r w:rsidR="00B5751F">
        <w:t xml:space="preserve">program, </w:t>
      </w:r>
      <w:r w:rsidR="0090799F">
        <w:t xml:space="preserve">grantees must </w:t>
      </w:r>
      <w:r w:rsidR="003313C3">
        <w:t>provide</w:t>
      </w:r>
      <w:r w:rsidR="0090799F">
        <w:t xml:space="preserve"> robust intake and orientation activities. </w:t>
      </w:r>
      <w:r w:rsidR="00827FC2">
        <w:t xml:space="preserve">These activities should </w:t>
      </w:r>
      <w:r w:rsidR="007F5549">
        <w:t>be offered at times and locations that accommodate students’ needs</w:t>
      </w:r>
      <w:r w:rsidR="009746BA">
        <w:t xml:space="preserve"> (including evenings and/or weekends, as possible)</w:t>
      </w:r>
      <w:r w:rsidR="007F5549">
        <w:t xml:space="preserve">. Activities should be </w:t>
      </w:r>
      <w:r w:rsidR="00827FC2">
        <w:t>designed to</w:t>
      </w:r>
      <w:r w:rsidR="003C2FB9">
        <w:t xml:space="preserve"> build rapport and trust with the prospective student,</w:t>
      </w:r>
      <w:r w:rsidR="00827FC2">
        <w:t xml:space="preserve"> </w:t>
      </w:r>
      <w:r w:rsidR="00EA2635">
        <w:t>inform the</w:t>
      </w:r>
      <w:r w:rsidR="003C2FB9">
        <w:t xml:space="preserve">m </w:t>
      </w:r>
      <w:r w:rsidR="00EA2635">
        <w:t xml:space="preserve">about the program’s </w:t>
      </w:r>
      <w:r w:rsidR="00302423">
        <w:t xml:space="preserve">offerings and expectations, </w:t>
      </w:r>
      <w:r w:rsidR="004C4922">
        <w:t xml:space="preserve">and </w:t>
      </w:r>
      <w:r w:rsidR="00496A14">
        <w:t>complete</w:t>
      </w:r>
      <w:r w:rsidR="005D454F">
        <w:t xml:space="preserve"> registration </w:t>
      </w:r>
      <w:r w:rsidR="005D454F">
        <w:lastRenderedPageBreak/>
        <w:t>forms</w:t>
      </w:r>
      <w:r w:rsidR="004C4922">
        <w:t>. In addition, students are required to take a TDLWD-approved pre-test, such as TABE or CASAS, as part of intake</w:t>
      </w:r>
      <w:r w:rsidR="00403FE5">
        <w:t xml:space="preserve">. Program staff can </w:t>
      </w:r>
      <w:r w:rsidR="00D20BA6">
        <w:t xml:space="preserve">then </w:t>
      </w:r>
      <w:r w:rsidR="004661CC">
        <w:t>determine a</w:t>
      </w:r>
      <w:r w:rsidR="00CD269B">
        <w:t xml:space="preserve">n appropriate plan for </w:t>
      </w:r>
      <w:r w:rsidR="00F73EE9">
        <w:t>instruction and other activities</w:t>
      </w:r>
      <w:r w:rsidR="00A33563">
        <w:t xml:space="preserve"> (</w:t>
      </w:r>
      <w:r w:rsidR="00716A3E">
        <w:t xml:space="preserve">e.g., </w:t>
      </w:r>
      <w:r w:rsidR="00D3442C">
        <w:t>w</w:t>
      </w:r>
      <w:r w:rsidR="002179B5">
        <w:t>hich class they will attend,</w:t>
      </w:r>
      <w:r w:rsidR="00D3442C">
        <w:t xml:space="preserve"> if distance learning is a possibility,</w:t>
      </w:r>
      <w:r w:rsidR="00AF01B7">
        <w:t xml:space="preserve"> what their career goals are, if they are a good candidate for </w:t>
      </w:r>
      <w:r w:rsidR="005725DD">
        <w:t>a workforce development initiative, etc.)</w:t>
      </w:r>
      <w:r w:rsidR="006F0DEF">
        <w:t>.</w:t>
      </w:r>
      <w:r w:rsidR="003800B8">
        <w:t xml:space="preserve"> TDLWD will provide ongoing guidance concerning intake</w:t>
      </w:r>
      <w:r w:rsidR="00BB4326">
        <w:t xml:space="preserve"> and orientation </w:t>
      </w:r>
      <w:r w:rsidR="00B61D5C">
        <w:t xml:space="preserve">design and </w:t>
      </w:r>
      <w:r w:rsidR="00140DB4">
        <w:t>expectations.</w:t>
      </w:r>
    </w:p>
    <w:p w14:paraId="7741D561" w14:textId="77777777" w:rsidR="00B87822" w:rsidRPr="001D658A" w:rsidRDefault="00B87822" w:rsidP="00EA0734">
      <w:pPr>
        <w:keepLines/>
      </w:pPr>
    </w:p>
    <w:p w14:paraId="34D2DFCA" w14:textId="51E17E81" w:rsidR="00E419F2" w:rsidRPr="001D658A" w:rsidRDefault="00E419F2" w:rsidP="00F71E24">
      <w:pPr>
        <w:pStyle w:val="Heading2"/>
      </w:pPr>
      <w:bookmarkStart w:id="36" w:name="_Toc128579621"/>
      <w:r w:rsidRPr="001D658A">
        <w:t xml:space="preserve">Curriculum </w:t>
      </w:r>
      <w:r w:rsidR="00F26383">
        <w:t>&amp;</w:t>
      </w:r>
      <w:r w:rsidRPr="001D658A">
        <w:t xml:space="preserve"> Instruction</w:t>
      </w:r>
      <w:bookmarkEnd w:id="36"/>
    </w:p>
    <w:p w14:paraId="18E00933" w14:textId="77777777" w:rsidR="00E419F2" w:rsidRPr="001D658A" w:rsidRDefault="00E419F2" w:rsidP="00EA0734">
      <w:pPr>
        <w:keepLines/>
      </w:pPr>
    </w:p>
    <w:p w14:paraId="65CDA192" w14:textId="354915DE" w:rsidR="00E419F2" w:rsidRPr="001D658A" w:rsidRDefault="001A3A44" w:rsidP="00EA0734">
      <w:pPr>
        <w:keepLines/>
        <w:spacing w:after="120"/>
        <w:rPr>
          <w:color w:val="000000"/>
        </w:rPr>
      </w:pPr>
      <w:r>
        <w:t xml:space="preserve">As grantees develop and improve their </w:t>
      </w:r>
      <w:r w:rsidR="00EA59A5">
        <w:t>A</w:t>
      </w:r>
      <w:r>
        <w:t xml:space="preserve">dult </w:t>
      </w:r>
      <w:r w:rsidR="00EA59A5">
        <w:t>E</w:t>
      </w:r>
      <w:r>
        <w:t xml:space="preserve">ducation program, they must prioritize maximizing student </w:t>
      </w:r>
      <w:r w:rsidR="00FC4DDF">
        <w:t>learning gains</w:t>
      </w:r>
      <w:r>
        <w:t xml:space="preserve">. To maximize </w:t>
      </w:r>
      <w:r w:rsidR="00FB4096">
        <w:t>learning gains</w:t>
      </w:r>
      <w:r>
        <w:t xml:space="preserve">, programs must </w:t>
      </w:r>
      <w:r w:rsidR="00E419F2" w:rsidRPr="001D658A">
        <w:t>utilize curriculum</w:t>
      </w:r>
      <w:r w:rsidR="00E419F2" w:rsidRPr="001D658A">
        <w:rPr>
          <w:color w:val="000000"/>
        </w:rPr>
        <w:t xml:space="preserve"> and instruction that incorporates:</w:t>
      </w:r>
    </w:p>
    <w:p w14:paraId="1CBC5926" w14:textId="6EFE57FD" w:rsidR="00E419F2" w:rsidRPr="001D658A" w:rsidRDefault="00617E59" w:rsidP="00D90CF9">
      <w:pPr>
        <w:pStyle w:val="ListParagraph"/>
        <w:keepLines/>
        <w:numPr>
          <w:ilvl w:val="3"/>
          <w:numId w:val="3"/>
        </w:numPr>
        <w:tabs>
          <w:tab w:val="clear" w:pos="2880"/>
          <w:tab w:val="num" w:pos="1080"/>
        </w:tabs>
        <w:spacing w:after="120" w:line="240" w:lineRule="auto"/>
        <w:ind w:left="1080"/>
        <w:contextualSpacing w:val="0"/>
        <w:rPr>
          <w:rFonts w:ascii="Open Sans" w:hAnsi="Open Sans"/>
          <w:color w:val="000000"/>
        </w:rPr>
      </w:pPr>
      <w:r>
        <w:rPr>
          <w:rFonts w:ascii="Open Sans" w:hAnsi="Open Sans"/>
          <w:color w:val="000000"/>
        </w:rPr>
        <w:t>Research-based</w:t>
      </w:r>
      <w:r w:rsidR="00E419F2" w:rsidRPr="001D658A">
        <w:rPr>
          <w:rFonts w:ascii="Open Sans" w:hAnsi="Open Sans"/>
          <w:color w:val="000000"/>
        </w:rPr>
        <w:t xml:space="preserve"> adult learning theories and educational practice;</w:t>
      </w:r>
    </w:p>
    <w:p w14:paraId="00B4CAFE" w14:textId="3BDA325F" w:rsidR="00E419F2" w:rsidRPr="001D658A" w:rsidRDefault="00E419F2" w:rsidP="00D90CF9">
      <w:pPr>
        <w:pStyle w:val="ListParagraph"/>
        <w:keepLines/>
        <w:numPr>
          <w:ilvl w:val="3"/>
          <w:numId w:val="3"/>
        </w:numPr>
        <w:tabs>
          <w:tab w:val="clear" w:pos="2880"/>
          <w:tab w:val="num" w:pos="1080"/>
        </w:tabs>
        <w:spacing w:after="120" w:line="240" w:lineRule="auto"/>
        <w:ind w:left="1080"/>
        <w:contextualSpacing w:val="0"/>
        <w:rPr>
          <w:rFonts w:ascii="Open Sans" w:hAnsi="Open Sans"/>
          <w:color w:val="000000"/>
        </w:rPr>
      </w:pPr>
      <w:r w:rsidRPr="001D658A">
        <w:rPr>
          <w:rFonts w:ascii="Open Sans" w:hAnsi="Open Sans"/>
          <w:color w:val="000000"/>
        </w:rPr>
        <w:t>The College and Career Readiness Standards for Adult Education</w:t>
      </w:r>
      <w:r w:rsidR="004A2530">
        <w:rPr>
          <w:rStyle w:val="FootnoteReference"/>
          <w:rFonts w:ascii="Open Sans" w:hAnsi="Open Sans"/>
          <w:color w:val="000000"/>
        </w:rPr>
        <w:footnoteReference w:id="29"/>
      </w:r>
      <w:r w:rsidRPr="001D658A">
        <w:rPr>
          <w:rFonts w:ascii="Open Sans" w:hAnsi="Open Sans"/>
          <w:color w:val="000000"/>
        </w:rPr>
        <w:t xml:space="preserve"> </w:t>
      </w:r>
      <w:r w:rsidR="00AB0A5C">
        <w:rPr>
          <w:rFonts w:ascii="Open Sans" w:hAnsi="Open Sans"/>
          <w:color w:val="000000"/>
        </w:rPr>
        <w:t>and/</w:t>
      </w:r>
      <w:r w:rsidRPr="001D658A">
        <w:rPr>
          <w:rFonts w:ascii="Open Sans" w:hAnsi="Open Sans"/>
          <w:color w:val="000000"/>
        </w:rPr>
        <w:t>or English Language Proficiency Standards for Adult Education</w:t>
      </w:r>
      <w:r w:rsidR="004A2530">
        <w:rPr>
          <w:rStyle w:val="FootnoteReference"/>
          <w:rFonts w:ascii="Open Sans" w:hAnsi="Open Sans"/>
          <w:color w:val="000000"/>
        </w:rPr>
        <w:footnoteReference w:id="30"/>
      </w:r>
      <w:r w:rsidRPr="001D658A">
        <w:rPr>
          <w:rFonts w:ascii="Open Sans" w:hAnsi="Open Sans"/>
          <w:color w:val="000000"/>
        </w:rPr>
        <w:t>;</w:t>
      </w:r>
    </w:p>
    <w:p w14:paraId="32DC30FD" w14:textId="31290924" w:rsidR="00E419F2" w:rsidRPr="001D658A" w:rsidRDefault="00E419F2" w:rsidP="00D90CF9">
      <w:pPr>
        <w:pStyle w:val="ListParagraph"/>
        <w:keepLines/>
        <w:numPr>
          <w:ilvl w:val="3"/>
          <w:numId w:val="3"/>
        </w:numPr>
        <w:tabs>
          <w:tab w:val="clear" w:pos="2880"/>
          <w:tab w:val="num" w:pos="1080"/>
        </w:tabs>
        <w:spacing w:after="120" w:line="240" w:lineRule="auto"/>
        <w:ind w:left="1080"/>
        <w:contextualSpacing w:val="0"/>
        <w:rPr>
          <w:rFonts w:ascii="Open Sans" w:hAnsi="Open Sans"/>
          <w:color w:val="000000"/>
        </w:rPr>
      </w:pPr>
      <w:r w:rsidRPr="001D658A">
        <w:rPr>
          <w:rFonts w:ascii="Open Sans" w:hAnsi="Open Sans"/>
          <w:color w:val="000000"/>
        </w:rPr>
        <w:t>The essential components of reading instruction;</w:t>
      </w:r>
      <w:r w:rsidR="004A2530">
        <w:rPr>
          <w:rStyle w:val="FootnoteReference"/>
          <w:rFonts w:ascii="Open Sans" w:hAnsi="Open Sans"/>
          <w:color w:val="000000"/>
        </w:rPr>
        <w:footnoteReference w:id="31"/>
      </w:r>
    </w:p>
    <w:p w14:paraId="44503506" w14:textId="12158D97" w:rsidR="00E419F2" w:rsidRPr="001D658A" w:rsidRDefault="00E419F2" w:rsidP="00D90CF9">
      <w:pPr>
        <w:pStyle w:val="ListParagraph"/>
        <w:keepLines/>
        <w:numPr>
          <w:ilvl w:val="3"/>
          <w:numId w:val="3"/>
        </w:numPr>
        <w:tabs>
          <w:tab w:val="clear" w:pos="2880"/>
          <w:tab w:val="num" w:pos="1080"/>
        </w:tabs>
        <w:spacing w:after="120" w:line="240" w:lineRule="auto"/>
        <w:ind w:left="1080"/>
        <w:contextualSpacing w:val="0"/>
        <w:rPr>
          <w:rFonts w:ascii="Open Sans" w:hAnsi="Open Sans"/>
          <w:color w:val="000000"/>
        </w:rPr>
      </w:pPr>
      <w:r w:rsidRPr="001D658A">
        <w:rPr>
          <w:rFonts w:ascii="Open Sans" w:hAnsi="Open Sans"/>
          <w:color w:val="000000"/>
        </w:rPr>
        <w:t>Workforce preparation activities (e.g., digital literacy</w:t>
      </w:r>
      <w:r w:rsidR="000658E4">
        <w:rPr>
          <w:rFonts w:ascii="Open Sans" w:hAnsi="Open Sans"/>
          <w:color w:val="000000"/>
        </w:rPr>
        <w:t xml:space="preserve"> and </w:t>
      </w:r>
      <w:r w:rsidRPr="001D658A">
        <w:rPr>
          <w:rFonts w:ascii="Open Sans" w:hAnsi="Open Sans"/>
          <w:color w:val="000000"/>
        </w:rPr>
        <w:t>soft skills</w:t>
      </w:r>
      <w:r w:rsidR="000658E4">
        <w:rPr>
          <w:rFonts w:ascii="Open Sans" w:hAnsi="Open Sans"/>
          <w:color w:val="000000"/>
        </w:rPr>
        <w:t>)</w:t>
      </w:r>
      <w:r w:rsidR="008D3919">
        <w:rPr>
          <w:rFonts w:ascii="Open Sans" w:hAnsi="Open Sans"/>
          <w:color w:val="000000"/>
        </w:rPr>
        <w:t>;</w:t>
      </w:r>
    </w:p>
    <w:p w14:paraId="65F430C2" w14:textId="70DAB9C4" w:rsidR="006418C3" w:rsidRPr="006418C3" w:rsidRDefault="006418C3" w:rsidP="00D90CF9">
      <w:pPr>
        <w:pStyle w:val="ListParagraph"/>
        <w:keepLines/>
        <w:numPr>
          <w:ilvl w:val="3"/>
          <w:numId w:val="3"/>
        </w:numPr>
        <w:tabs>
          <w:tab w:val="clear" w:pos="2880"/>
          <w:tab w:val="num" w:pos="1080"/>
        </w:tabs>
        <w:spacing w:after="120" w:line="240" w:lineRule="auto"/>
        <w:ind w:left="1080"/>
        <w:contextualSpacing w:val="0"/>
        <w:rPr>
          <w:rFonts w:ascii="Open Sans" w:hAnsi="Open Sans"/>
        </w:rPr>
      </w:pPr>
      <w:r>
        <w:rPr>
          <w:rFonts w:ascii="Open Sans" w:hAnsi="Open Sans"/>
        </w:rPr>
        <w:t>Differentiated instruction</w:t>
      </w:r>
      <w:r w:rsidR="00394B53">
        <w:rPr>
          <w:rFonts w:ascii="Open Sans" w:hAnsi="Open Sans"/>
        </w:rPr>
        <w:t xml:space="preserve"> </w:t>
      </w:r>
      <w:r w:rsidR="00212871">
        <w:rPr>
          <w:rFonts w:ascii="Open Sans" w:hAnsi="Open Sans"/>
        </w:rPr>
        <w:t xml:space="preserve">that allows each student to </w:t>
      </w:r>
      <w:r w:rsidR="00553BC8">
        <w:rPr>
          <w:rFonts w:ascii="Open Sans" w:hAnsi="Open Sans"/>
        </w:rPr>
        <w:t xml:space="preserve">learn at a pace and level appropriate for their </w:t>
      </w:r>
      <w:r w:rsidR="00295880">
        <w:rPr>
          <w:rFonts w:ascii="Open Sans" w:hAnsi="Open Sans"/>
        </w:rPr>
        <w:t>unique learning needs</w:t>
      </w:r>
      <w:r w:rsidR="00397AE8">
        <w:rPr>
          <w:rFonts w:ascii="Open Sans" w:hAnsi="Open Sans"/>
        </w:rPr>
        <w:t>; and</w:t>
      </w:r>
    </w:p>
    <w:p w14:paraId="540F07B9" w14:textId="141ADF46" w:rsidR="00E419F2" w:rsidRPr="001D658A" w:rsidRDefault="00E419F2" w:rsidP="00D90CF9">
      <w:pPr>
        <w:pStyle w:val="ListParagraph"/>
        <w:keepLines/>
        <w:numPr>
          <w:ilvl w:val="3"/>
          <w:numId w:val="3"/>
        </w:numPr>
        <w:tabs>
          <w:tab w:val="clear" w:pos="2880"/>
          <w:tab w:val="num" w:pos="1080"/>
        </w:tabs>
        <w:spacing w:after="0" w:line="240" w:lineRule="auto"/>
        <w:ind w:left="1080"/>
        <w:rPr>
          <w:rFonts w:ascii="Open Sans" w:hAnsi="Open Sans"/>
        </w:rPr>
      </w:pPr>
      <w:r w:rsidRPr="001D658A">
        <w:rPr>
          <w:rFonts w:ascii="Open Sans" w:hAnsi="Open Sans"/>
          <w:color w:val="000000"/>
        </w:rPr>
        <w:t>Technology and distance education.</w:t>
      </w:r>
    </w:p>
    <w:p w14:paraId="23E49FE2" w14:textId="270FF883" w:rsidR="001E7F13" w:rsidRDefault="001E7F13" w:rsidP="00EA0734">
      <w:pPr>
        <w:keepLines/>
      </w:pPr>
    </w:p>
    <w:p w14:paraId="7EE9C82E" w14:textId="7EF97BD0" w:rsidR="0000776F" w:rsidRDefault="00ED699A" w:rsidP="00EA0734">
      <w:pPr>
        <w:keepLines/>
        <w:sectPr w:rsidR="0000776F" w:rsidSect="00992302">
          <w:headerReference w:type="default" r:id="rId32"/>
          <w:pgSz w:w="12240" w:h="15840"/>
          <w:pgMar w:top="1440" w:right="1440" w:bottom="1440" w:left="1440" w:header="720" w:footer="720" w:gutter="0"/>
          <w:cols w:space="720"/>
          <w:docGrid w:linePitch="360"/>
        </w:sectPr>
      </w:pPr>
      <w:r>
        <w:t>Teachers</w:t>
      </w:r>
      <w:r w:rsidR="000E2E3C">
        <w:t xml:space="preserve"> </w:t>
      </w:r>
      <w:r w:rsidR="00C84F60">
        <w:t>should</w:t>
      </w:r>
      <w:r w:rsidR="000E2E3C">
        <w:t xml:space="preserve"> also </w:t>
      </w:r>
      <w:r w:rsidR="00FE7CFE">
        <w:t xml:space="preserve">incorporate best practices concerning lesson planning, </w:t>
      </w:r>
      <w:r w:rsidR="00C84F60">
        <w:t xml:space="preserve">establishing scope and sequence, </w:t>
      </w:r>
      <w:r w:rsidR="007E6FE2">
        <w:t xml:space="preserve">and using </w:t>
      </w:r>
      <w:r w:rsidR="004866AB">
        <w:t>assessments (both formative</w:t>
      </w:r>
      <w:r w:rsidR="004520A8">
        <w:t xml:space="preserve"> assessments</w:t>
      </w:r>
      <w:r w:rsidR="004866AB">
        <w:t xml:space="preserve"> and </w:t>
      </w:r>
      <w:r w:rsidR="003F42A2">
        <w:t>official pre</w:t>
      </w:r>
      <w:r w:rsidR="007C1A23">
        <w:t>-test</w:t>
      </w:r>
      <w:r w:rsidR="004520A8">
        <w:t>s/</w:t>
      </w:r>
      <w:r w:rsidR="007C1A23">
        <w:t>post-test</w:t>
      </w:r>
      <w:r w:rsidR="004520A8">
        <w:t xml:space="preserve">s) to inform </w:t>
      </w:r>
      <w:r w:rsidR="008646C6">
        <w:t>student learning needs and associated instructional plans.</w:t>
      </w:r>
      <w:r w:rsidR="00EA79FC">
        <w:t xml:space="preserve"> </w:t>
      </w:r>
      <w:r>
        <w:t>Teach</w:t>
      </w:r>
      <w:r w:rsidR="006E2017">
        <w:t xml:space="preserve">ers can be paid for time spent planning for lessons and students. </w:t>
      </w:r>
      <w:r w:rsidR="00051078">
        <w:t xml:space="preserve">TDLWD </w:t>
      </w:r>
      <w:r w:rsidR="008D3919">
        <w:t xml:space="preserve">will provide </w:t>
      </w:r>
      <w:r w:rsidR="00B73306">
        <w:t xml:space="preserve">ongoing guidance </w:t>
      </w:r>
      <w:r w:rsidR="001E7F13" w:rsidRPr="001D658A">
        <w:t>concerning specific curriculum resources</w:t>
      </w:r>
      <w:r w:rsidR="001468BA">
        <w:t xml:space="preserve"> and expectations for instructional practices</w:t>
      </w:r>
      <w:r w:rsidR="001E7F13" w:rsidRPr="001D658A">
        <w:t>.</w:t>
      </w:r>
    </w:p>
    <w:p w14:paraId="13939C32" w14:textId="37859E7C" w:rsidR="00BA0E95" w:rsidRPr="00EE7081" w:rsidRDefault="00BA0E95" w:rsidP="00BA0E95">
      <w:pPr>
        <w:pStyle w:val="Heading1"/>
        <w:keepNext w:val="0"/>
        <w:keepLines/>
        <w:rPr>
          <w:rFonts w:ascii="Open Sans" w:hAnsi="Open Sans"/>
        </w:rPr>
      </w:pPr>
      <w:bookmarkStart w:id="37" w:name="_Toc128579622"/>
      <w:r w:rsidRPr="00EE7081">
        <w:rPr>
          <w:rFonts w:ascii="Open Sans" w:hAnsi="Open Sans"/>
        </w:rPr>
        <w:lastRenderedPageBreak/>
        <w:t xml:space="preserve">Section </w:t>
      </w:r>
      <w:r w:rsidR="00EB765A">
        <w:rPr>
          <w:rFonts w:ascii="Open Sans" w:hAnsi="Open Sans"/>
        </w:rPr>
        <w:t>6</w:t>
      </w:r>
      <w:r w:rsidRPr="00EE7081">
        <w:rPr>
          <w:rFonts w:ascii="Open Sans" w:hAnsi="Open Sans"/>
        </w:rPr>
        <w:t xml:space="preserve"> </w:t>
      </w:r>
      <w:r>
        <w:rPr>
          <w:rFonts w:ascii="Open Sans" w:hAnsi="Open Sans"/>
        </w:rPr>
        <w:t>–</w:t>
      </w:r>
      <w:r w:rsidRPr="00EE7081">
        <w:rPr>
          <w:rFonts w:ascii="Open Sans" w:hAnsi="Open Sans"/>
        </w:rPr>
        <w:t xml:space="preserve"> </w:t>
      </w:r>
      <w:r>
        <w:rPr>
          <w:rFonts w:ascii="Open Sans" w:hAnsi="Open Sans"/>
        </w:rPr>
        <w:t>WORKFORCE DEVELOPMENT</w:t>
      </w:r>
      <w:r w:rsidR="006E6A07">
        <w:rPr>
          <w:rFonts w:ascii="Open Sans" w:hAnsi="Open Sans"/>
        </w:rPr>
        <w:t xml:space="preserve"> System</w:t>
      </w:r>
      <w:r w:rsidR="001E6C0B">
        <w:rPr>
          <w:rFonts w:ascii="Open Sans" w:hAnsi="Open Sans"/>
        </w:rPr>
        <w:t xml:space="preserve"> &amp; initiatives</w:t>
      </w:r>
      <w:bookmarkEnd w:id="37"/>
    </w:p>
    <w:p w14:paraId="1A24DF34" w14:textId="77777777" w:rsidR="00BA0E95" w:rsidRPr="00FD5C10" w:rsidRDefault="00BA0E95" w:rsidP="00F71E24">
      <w:pPr>
        <w:pStyle w:val="Heading2"/>
        <w:rPr>
          <w:sz w:val="22"/>
          <w:szCs w:val="18"/>
        </w:rPr>
      </w:pPr>
    </w:p>
    <w:p w14:paraId="2A9EAB0C" w14:textId="77777777" w:rsidR="00176186" w:rsidRPr="00EE7081" w:rsidRDefault="00176186" w:rsidP="00176186">
      <w:pPr>
        <w:pStyle w:val="Heading3"/>
        <w:keepLines/>
      </w:pPr>
      <w:r w:rsidRPr="00EE7081">
        <w:t xml:space="preserve">Local </w:t>
      </w:r>
      <w:r>
        <w:t xml:space="preserve">BOARDS &amp; </w:t>
      </w:r>
      <w:r w:rsidRPr="00EE7081">
        <w:t>Plan Alignment</w:t>
      </w:r>
    </w:p>
    <w:p w14:paraId="2414AFB2" w14:textId="77777777" w:rsidR="00176186" w:rsidRPr="00EE7081" w:rsidRDefault="00176186" w:rsidP="00176186">
      <w:pPr>
        <w:pStyle w:val="BodyTextIndent2"/>
        <w:keepLines/>
        <w:tabs>
          <w:tab w:val="clear" w:pos="-720"/>
          <w:tab w:val="left" w:pos="0"/>
        </w:tabs>
        <w:suppressAutoHyphens w:val="0"/>
        <w:ind w:left="0"/>
        <w:rPr>
          <w:color w:val="000000"/>
          <w:sz w:val="22"/>
          <w:szCs w:val="22"/>
        </w:rPr>
      </w:pPr>
    </w:p>
    <w:p w14:paraId="48A50C51" w14:textId="1A66BC89" w:rsidR="00176186" w:rsidRPr="00EE7081" w:rsidRDefault="00176186" w:rsidP="00176186">
      <w:pPr>
        <w:keepLines/>
      </w:pPr>
      <w:r w:rsidRPr="00EE7081">
        <w:t xml:space="preserve">To facilitate a cohesive education-workforce system, local workforce development boards (LWDBs) </w:t>
      </w:r>
      <w:r>
        <w:t>are</w:t>
      </w:r>
      <w:r w:rsidRPr="00EE7081">
        <w:t xml:space="preserve"> established across the state</w:t>
      </w:r>
      <w:r>
        <w:t xml:space="preserve"> in each</w:t>
      </w:r>
      <w:r w:rsidR="0071205E">
        <w:t xml:space="preserve"> local workforce</w:t>
      </w:r>
      <w:r w:rsidR="007309D2">
        <w:t xml:space="preserve"> development area (</w:t>
      </w:r>
      <w:r>
        <w:t>LWDA</w:t>
      </w:r>
      <w:r w:rsidR="007309D2">
        <w:t>)</w:t>
      </w:r>
      <w:r w:rsidRPr="00EE7081">
        <w:t xml:space="preserve">, and </w:t>
      </w:r>
      <w:r>
        <w:t>various local business</w:t>
      </w:r>
      <w:r w:rsidR="009E0F7D">
        <w:t>es</w:t>
      </w:r>
      <w:r>
        <w:t xml:space="preserve">, </w:t>
      </w:r>
      <w:proofErr w:type="gramStart"/>
      <w:r>
        <w:t>workforce</w:t>
      </w:r>
      <w:proofErr w:type="gramEnd"/>
      <w:r>
        <w:t xml:space="preserve"> and economic agencies, and WIOA partners</w:t>
      </w:r>
      <w:r w:rsidRPr="00EE7081">
        <w:t xml:space="preserve"> </w:t>
      </w:r>
      <w:r>
        <w:t xml:space="preserve">(including Adult Education) </w:t>
      </w:r>
      <w:r w:rsidRPr="00EE7081">
        <w:t xml:space="preserve">are represented on the boards. The mission of the LWDBs is to ensure that the programs within the </w:t>
      </w:r>
      <w:r>
        <w:t xml:space="preserve">local </w:t>
      </w:r>
      <w:r w:rsidRPr="00EE7081">
        <w:t xml:space="preserve">system are functioning effectively, to oversee the </w:t>
      </w:r>
      <w:r w:rsidR="00193636">
        <w:t>American Job Centers (AJCs)</w:t>
      </w:r>
      <w:r w:rsidRPr="00EE7081">
        <w:t xml:space="preserve"> in the area, and to maintain a written local workforce development plan that describes the system</w:t>
      </w:r>
      <w:r>
        <w:t xml:space="preserve">’s programs, </w:t>
      </w:r>
      <w:r w:rsidRPr="00EE7081">
        <w:t>services</w:t>
      </w:r>
      <w:r>
        <w:t>, and goals and vision for the future.</w:t>
      </w:r>
      <w:r>
        <w:rPr>
          <w:rStyle w:val="FootnoteReference"/>
        </w:rPr>
        <w:footnoteReference w:id="32"/>
      </w:r>
    </w:p>
    <w:p w14:paraId="7ED6524B" w14:textId="77777777" w:rsidR="00176186" w:rsidRPr="00EE7081" w:rsidRDefault="00176186" w:rsidP="00176186">
      <w:pPr>
        <w:keepLines/>
      </w:pPr>
    </w:p>
    <w:p w14:paraId="7F200366" w14:textId="77777777" w:rsidR="00176186" w:rsidRDefault="00176186" w:rsidP="00176186">
      <w:pPr>
        <w:keepLines/>
      </w:pPr>
      <w:r>
        <w:t>The adult education activities proposed within a grant application should be consistent with the applicant’s respective local workforce development plan. Applicants should review</w:t>
      </w:r>
      <w:r w:rsidRPr="00EE7081">
        <w:t xml:space="preserve"> the local workforce development plan for their area </w:t>
      </w:r>
      <w:r>
        <w:t xml:space="preserve">to ensure their </w:t>
      </w:r>
      <w:r w:rsidRPr="00EE7081">
        <w:t>proposed services align with the plan.</w:t>
      </w:r>
      <w:r>
        <w:t xml:space="preserve"> </w:t>
      </w:r>
    </w:p>
    <w:p w14:paraId="0A2F5F83" w14:textId="77777777" w:rsidR="00176186" w:rsidRDefault="00176186" w:rsidP="00176186">
      <w:pPr>
        <w:keepLines/>
      </w:pPr>
    </w:p>
    <w:p w14:paraId="78D64A64" w14:textId="77777777" w:rsidR="00EE3387" w:rsidRPr="00280632" w:rsidRDefault="00EE3387" w:rsidP="00EE3387">
      <w:pPr>
        <w:keepLines/>
      </w:pPr>
      <w:hyperlink r:id="rId33" w:history="1">
        <w:r w:rsidRPr="00280632">
          <w:rPr>
            <w:rStyle w:val="Hyperlink"/>
            <w:b/>
            <w:bCs/>
          </w:rPr>
          <w:t>Click here for link to local plans</w:t>
        </w:r>
        <w:r w:rsidRPr="00280632">
          <w:rPr>
            <w:rStyle w:val="Hyperlink"/>
          </w:rPr>
          <w:t xml:space="preserve"> </w:t>
        </w:r>
      </w:hyperlink>
    </w:p>
    <w:p w14:paraId="1B005919" w14:textId="77777777" w:rsidR="00176186" w:rsidRPr="00B267CA" w:rsidRDefault="00176186" w:rsidP="00176186">
      <w:pPr>
        <w:keepLines/>
        <w:rPr>
          <w:highlight w:val="yellow"/>
        </w:rPr>
      </w:pPr>
    </w:p>
    <w:p w14:paraId="7766C468" w14:textId="2C24D100" w:rsidR="00176186" w:rsidRPr="00EE67D4" w:rsidRDefault="00176186" w:rsidP="00176186">
      <w:pPr>
        <w:keepLines/>
        <w:rPr>
          <w:b/>
          <w:bCs/>
        </w:rPr>
      </w:pPr>
      <w:r w:rsidRPr="150F5961">
        <w:t xml:space="preserve">Upon receiving applications from eligible providers, </w:t>
      </w:r>
      <w:r>
        <w:t xml:space="preserve">TDLWD </w:t>
      </w:r>
      <w:r w:rsidRPr="150F5961">
        <w:t>will forward applications to the applicants’ LWDBs</w:t>
      </w:r>
      <w:r w:rsidRPr="00EE7081">
        <w:t>.</w:t>
      </w:r>
      <w:r w:rsidRPr="150F5961">
        <w:rPr>
          <w:color w:val="000000"/>
        </w:rPr>
        <w:t xml:space="preserve"> The LWDBs can then review the applications for consistency with the local plan and provide </w:t>
      </w:r>
      <w:r>
        <w:rPr>
          <w:color w:val="000000"/>
        </w:rPr>
        <w:t xml:space="preserve">TDLWD </w:t>
      </w:r>
      <w:r w:rsidRPr="150F5961">
        <w:rPr>
          <w:color w:val="000000"/>
        </w:rPr>
        <w:t>with recommendations to promote alignment with the local plan.</w:t>
      </w:r>
      <w:r w:rsidRPr="150F5961">
        <w:rPr>
          <w:rStyle w:val="FootnoteReference"/>
          <w:color w:val="000000"/>
        </w:rPr>
        <w:footnoteReference w:id="33"/>
      </w:r>
      <w:r w:rsidRPr="150F5961">
        <w:rPr>
          <w:color w:val="000000"/>
        </w:rPr>
        <w:t xml:space="preserve"> </w:t>
      </w:r>
    </w:p>
    <w:p w14:paraId="3C89D00E" w14:textId="77777777" w:rsidR="00176186" w:rsidRPr="00EE7081" w:rsidRDefault="00176186" w:rsidP="00176186">
      <w:pPr>
        <w:keepLines/>
        <w:rPr>
          <w:color w:val="000000"/>
        </w:rPr>
      </w:pPr>
    </w:p>
    <w:p w14:paraId="0DFF6FBF" w14:textId="77777777" w:rsidR="00176186" w:rsidRDefault="00176186" w:rsidP="00176186">
      <w:pPr>
        <w:keepLines/>
        <w:rPr>
          <w:color w:val="000000"/>
        </w:rPr>
      </w:pPr>
      <w:r w:rsidRPr="00EE7081">
        <w:rPr>
          <w:color w:val="000000"/>
        </w:rPr>
        <w:t>If an applicant is awarded the grant but their description of proposed services is poorly aligned with the local plan, the applicant may be required to modify their service delivery proposal to be more consistent with the plan as a condition of being awarded.</w:t>
      </w:r>
    </w:p>
    <w:p w14:paraId="6393728E" w14:textId="77777777" w:rsidR="00176186" w:rsidRDefault="00176186" w:rsidP="00EA0734">
      <w:pPr>
        <w:pStyle w:val="Heading3"/>
        <w:keepLines/>
      </w:pPr>
    </w:p>
    <w:p w14:paraId="7134C56E" w14:textId="187BE1D5" w:rsidR="004F7049" w:rsidRPr="00EE7081" w:rsidRDefault="00CC15D5" w:rsidP="00EA0734">
      <w:pPr>
        <w:pStyle w:val="Heading3"/>
        <w:keepLines/>
      </w:pPr>
      <w:r w:rsidRPr="00EE7081">
        <w:t>WIOA</w:t>
      </w:r>
      <w:r w:rsidR="004F7049" w:rsidRPr="00EE7081">
        <w:t xml:space="preserve"> Partners</w:t>
      </w:r>
    </w:p>
    <w:p w14:paraId="1086FDE2" w14:textId="77777777" w:rsidR="004F7049" w:rsidRPr="00EE7081" w:rsidRDefault="004F7049" w:rsidP="00EA0734">
      <w:pPr>
        <w:keepLines/>
      </w:pPr>
    </w:p>
    <w:p w14:paraId="03808CFD" w14:textId="6DE9DE56" w:rsidR="004F7049" w:rsidRPr="00EE7081" w:rsidRDefault="00675BD4" w:rsidP="00EA0734">
      <w:pPr>
        <w:pStyle w:val="BodyTextIndent2"/>
        <w:keepLines/>
        <w:tabs>
          <w:tab w:val="clear" w:pos="-720"/>
          <w:tab w:val="left" w:pos="0"/>
        </w:tabs>
        <w:suppressAutoHyphens w:val="0"/>
        <w:ind w:left="0"/>
        <w:rPr>
          <w:color w:val="000000"/>
          <w:sz w:val="22"/>
          <w:szCs w:val="22"/>
        </w:rPr>
      </w:pPr>
      <w:r w:rsidRPr="00EE7081">
        <w:rPr>
          <w:color w:val="000000"/>
          <w:sz w:val="22"/>
          <w:szCs w:val="22"/>
        </w:rPr>
        <w:t>Th</w:t>
      </w:r>
      <w:r w:rsidR="001566B5">
        <w:rPr>
          <w:color w:val="000000"/>
          <w:sz w:val="22"/>
          <w:szCs w:val="22"/>
        </w:rPr>
        <w:t xml:space="preserve">e Adult Education program </w:t>
      </w:r>
      <w:r w:rsidR="0075447C">
        <w:rPr>
          <w:color w:val="000000"/>
          <w:sz w:val="22"/>
          <w:szCs w:val="22"/>
        </w:rPr>
        <w:t>exists as part of a larger workforce ecosystem</w:t>
      </w:r>
      <w:r w:rsidR="00AC61D7">
        <w:rPr>
          <w:color w:val="000000"/>
          <w:sz w:val="22"/>
          <w:szCs w:val="22"/>
        </w:rPr>
        <w:t xml:space="preserve">, per </w:t>
      </w:r>
      <w:r w:rsidR="00B60F72">
        <w:rPr>
          <w:color w:val="000000"/>
          <w:sz w:val="22"/>
          <w:szCs w:val="22"/>
        </w:rPr>
        <w:t xml:space="preserve">the </w:t>
      </w:r>
      <w:r w:rsidR="005514B6">
        <w:rPr>
          <w:color w:val="000000"/>
          <w:sz w:val="22"/>
          <w:szCs w:val="22"/>
        </w:rPr>
        <w:t>purpose of WIOA</w:t>
      </w:r>
      <w:r w:rsidR="00766162">
        <w:rPr>
          <w:color w:val="000000"/>
          <w:sz w:val="22"/>
          <w:szCs w:val="22"/>
        </w:rPr>
        <w:t xml:space="preserve">, which </w:t>
      </w:r>
      <w:r w:rsidR="00A43813">
        <w:rPr>
          <w:color w:val="000000"/>
          <w:sz w:val="22"/>
          <w:szCs w:val="22"/>
        </w:rPr>
        <w:t>envisions</w:t>
      </w:r>
      <w:r w:rsidR="004F7049" w:rsidRPr="00EE7081">
        <w:rPr>
          <w:color w:val="000000"/>
          <w:sz w:val="22"/>
          <w:szCs w:val="22"/>
        </w:rPr>
        <w:t xml:space="preserve"> various workforce development</w:t>
      </w:r>
      <w:r w:rsidR="00F40188">
        <w:rPr>
          <w:color w:val="000000"/>
          <w:sz w:val="22"/>
          <w:szCs w:val="22"/>
        </w:rPr>
        <w:t>, education,</w:t>
      </w:r>
      <w:r w:rsidR="00645FE4">
        <w:rPr>
          <w:color w:val="000000"/>
          <w:sz w:val="22"/>
          <w:szCs w:val="22"/>
        </w:rPr>
        <w:t xml:space="preserve"> and</w:t>
      </w:r>
      <w:r w:rsidR="00F40188">
        <w:rPr>
          <w:color w:val="000000"/>
          <w:sz w:val="22"/>
          <w:szCs w:val="22"/>
        </w:rPr>
        <w:t xml:space="preserve"> </w:t>
      </w:r>
      <w:r w:rsidR="00645FE4">
        <w:rPr>
          <w:color w:val="000000"/>
          <w:sz w:val="22"/>
          <w:szCs w:val="22"/>
        </w:rPr>
        <w:t>training programs</w:t>
      </w:r>
      <w:r w:rsidR="004F7049" w:rsidRPr="00EE7081">
        <w:rPr>
          <w:color w:val="000000"/>
          <w:sz w:val="22"/>
          <w:szCs w:val="22"/>
        </w:rPr>
        <w:t xml:space="preserve"> </w:t>
      </w:r>
      <w:r w:rsidR="00645FE4">
        <w:rPr>
          <w:color w:val="000000"/>
          <w:sz w:val="22"/>
          <w:szCs w:val="22"/>
        </w:rPr>
        <w:t>partnering</w:t>
      </w:r>
      <w:r w:rsidR="00C60916">
        <w:rPr>
          <w:color w:val="000000"/>
          <w:sz w:val="22"/>
          <w:szCs w:val="22"/>
        </w:rPr>
        <w:t xml:space="preserve"> </w:t>
      </w:r>
      <w:r w:rsidR="004F7049" w:rsidRPr="00EE7081">
        <w:rPr>
          <w:color w:val="000000"/>
          <w:sz w:val="22"/>
          <w:szCs w:val="22"/>
        </w:rPr>
        <w:t>together to provide a comprehensive system for Tennesseans in need. The</w:t>
      </w:r>
      <w:r w:rsidRPr="00EE7081">
        <w:rPr>
          <w:color w:val="000000"/>
          <w:sz w:val="22"/>
          <w:szCs w:val="22"/>
        </w:rPr>
        <w:t xml:space="preserve"> agencies within a local</w:t>
      </w:r>
      <w:r w:rsidR="004F7049" w:rsidRPr="00EE7081">
        <w:rPr>
          <w:color w:val="000000"/>
          <w:sz w:val="22"/>
          <w:szCs w:val="22"/>
        </w:rPr>
        <w:t xml:space="preserve"> </w:t>
      </w:r>
      <w:r w:rsidR="0091579D">
        <w:rPr>
          <w:color w:val="000000"/>
          <w:sz w:val="22"/>
          <w:szCs w:val="22"/>
        </w:rPr>
        <w:t xml:space="preserve">education-workforce </w:t>
      </w:r>
      <w:r w:rsidR="004F7049" w:rsidRPr="00EE7081">
        <w:rPr>
          <w:color w:val="000000"/>
          <w:sz w:val="22"/>
          <w:szCs w:val="22"/>
        </w:rPr>
        <w:t xml:space="preserve">system should </w:t>
      </w:r>
      <w:r w:rsidR="00981323" w:rsidRPr="00EE7081">
        <w:rPr>
          <w:color w:val="000000"/>
          <w:sz w:val="22"/>
          <w:szCs w:val="22"/>
        </w:rPr>
        <w:t xml:space="preserve">provide a clear and comprehensive pathway </w:t>
      </w:r>
      <w:r w:rsidR="004064FD">
        <w:rPr>
          <w:color w:val="000000"/>
          <w:sz w:val="22"/>
          <w:szCs w:val="22"/>
        </w:rPr>
        <w:t>for</w:t>
      </w:r>
      <w:r w:rsidR="004F7049" w:rsidRPr="00EE7081">
        <w:rPr>
          <w:color w:val="000000"/>
          <w:sz w:val="22"/>
          <w:szCs w:val="22"/>
        </w:rPr>
        <w:t xml:space="preserve"> individuals to achieve education goals, transition to postsecondary/training, and to attain in-demand, high-</w:t>
      </w:r>
      <w:r w:rsidR="004064FD">
        <w:rPr>
          <w:color w:val="000000"/>
          <w:sz w:val="22"/>
          <w:szCs w:val="22"/>
        </w:rPr>
        <w:t>wage job</w:t>
      </w:r>
      <w:r w:rsidR="00B860AF">
        <w:rPr>
          <w:color w:val="000000"/>
          <w:sz w:val="22"/>
          <w:szCs w:val="22"/>
        </w:rPr>
        <w:t>s</w:t>
      </w:r>
      <w:r w:rsidR="004064FD">
        <w:rPr>
          <w:color w:val="000000"/>
          <w:sz w:val="22"/>
          <w:szCs w:val="22"/>
        </w:rPr>
        <w:t>.</w:t>
      </w:r>
    </w:p>
    <w:p w14:paraId="4F418E5C" w14:textId="20FF3092" w:rsidR="00675BD4" w:rsidRPr="00EE7081" w:rsidRDefault="00675BD4" w:rsidP="00EA0734">
      <w:pPr>
        <w:pStyle w:val="BodyTextIndent2"/>
        <w:keepLines/>
        <w:tabs>
          <w:tab w:val="clear" w:pos="-720"/>
          <w:tab w:val="left" w:pos="0"/>
        </w:tabs>
        <w:suppressAutoHyphens w:val="0"/>
        <w:ind w:left="0"/>
        <w:rPr>
          <w:color w:val="000000"/>
          <w:sz w:val="22"/>
          <w:szCs w:val="22"/>
        </w:rPr>
      </w:pPr>
    </w:p>
    <w:p w14:paraId="62AC43C1" w14:textId="1C38F7F3" w:rsidR="007E591D" w:rsidRDefault="00675BD4" w:rsidP="000A10E9">
      <w:pPr>
        <w:pStyle w:val="BodyTextIndent2"/>
        <w:keepLines/>
        <w:tabs>
          <w:tab w:val="clear" w:pos="-720"/>
          <w:tab w:val="left" w:pos="0"/>
        </w:tabs>
        <w:suppressAutoHyphens w:val="0"/>
        <w:spacing w:after="240"/>
        <w:ind w:left="0"/>
        <w:rPr>
          <w:color w:val="000000"/>
          <w:sz w:val="22"/>
          <w:szCs w:val="22"/>
        </w:rPr>
      </w:pPr>
      <w:r w:rsidRPr="00EE7081">
        <w:rPr>
          <w:color w:val="000000"/>
          <w:sz w:val="22"/>
          <w:szCs w:val="22"/>
        </w:rPr>
        <w:lastRenderedPageBreak/>
        <w:t>At minimum, grantees are required to coordinate services with the other</w:t>
      </w:r>
      <w:r w:rsidR="00D36D44" w:rsidRPr="00EE7081">
        <w:rPr>
          <w:color w:val="000000"/>
          <w:sz w:val="22"/>
          <w:szCs w:val="22"/>
        </w:rPr>
        <w:t xml:space="preserve"> core</w:t>
      </w:r>
      <w:r w:rsidRPr="00EE7081">
        <w:rPr>
          <w:color w:val="000000"/>
          <w:sz w:val="22"/>
          <w:szCs w:val="22"/>
        </w:rPr>
        <w:t xml:space="preserve"> WIOA programs</w:t>
      </w:r>
      <w:r w:rsidR="00CD2B9C">
        <w:rPr>
          <w:color w:val="000000"/>
          <w:sz w:val="22"/>
          <w:szCs w:val="22"/>
        </w:rPr>
        <w:t xml:space="preserve"> in their area</w:t>
      </w:r>
      <w:r w:rsidR="00D36D44" w:rsidRPr="00EE7081">
        <w:rPr>
          <w:color w:val="000000"/>
          <w:sz w:val="22"/>
          <w:szCs w:val="22"/>
        </w:rPr>
        <w:t>. These programs includ</w:t>
      </w:r>
      <w:r w:rsidR="007E591D">
        <w:rPr>
          <w:color w:val="000000"/>
          <w:sz w:val="22"/>
          <w:szCs w:val="22"/>
        </w:rPr>
        <w:t>e:</w:t>
      </w:r>
    </w:p>
    <w:p w14:paraId="1DA80B75" w14:textId="307B9300" w:rsidR="00E335BC" w:rsidRDefault="00410E3F" w:rsidP="00D90CF9">
      <w:pPr>
        <w:pStyle w:val="BodyTextIndent2"/>
        <w:keepLines/>
        <w:numPr>
          <w:ilvl w:val="3"/>
          <w:numId w:val="3"/>
        </w:numPr>
        <w:tabs>
          <w:tab w:val="clear" w:pos="-720"/>
          <w:tab w:val="clear" w:pos="2880"/>
          <w:tab w:val="left" w:pos="0"/>
          <w:tab w:val="num" w:pos="2520"/>
        </w:tabs>
        <w:suppressAutoHyphens w:val="0"/>
        <w:spacing w:after="240"/>
        <w:ind w:left="1080"/>
        <w:rPr>
          <w:color w:val="000000"/>
          <w:sz w:val="22"/>
          <w:szCs w:val="22"/>
        </w:rPr>
      </w:pPr>
      <w:r>
        <w:rPr>
          <w:color w:val="000000"/>
          <w:sz w:val="22"/>
          <w:szCs w:val="22"/>
        </w:rPr>
        <w:t>WIOA Title I</w:t>
      </w:r>
      <w:r w:rsidR="00F644FE">
        <w:rPr>
          <w:color w:val="000000"/>
          <w:sz w:val="22"/>
          <w:szCs w:val="22"/>
        </w:rPr>
        <w:t xml:space="preserve"> – Workforce</w:t>
      </w:r>
      <w:r w:rsidR="00D36D44" w:rsidRPr="00EE7081">
        <w:rPr>
          <w:color w:val="000000"/>
          <w:sz w:val="22"/>
          <w:szCs w:val="22"/>
        </w:rPr>
        <w:t xml:space="preserve"> development activities for adults, dislocated workers, and youth</w:t>
      </w:r>
      <w:r w:rsidR="00E37AA3">
        <w:rPr>
          <w:color w:val="000000"/>
          <w:sz w:val="22"/>
          <w:szCs w:val="22"/>
        </w:rPr>
        <w:t xml:space="preserve">: </w:t>
      </w:r>
      <w:r w:rsidR="00F2335A">
        <w:rPr>
          <w:color w:val="000000"/>
          <w:sz w:val="22"/>
          <w:szCs w:val="22"/>
        </w:rPr>
        <w:t xml:space="preserve">assistance with </w:t>
      </w:r>
      <w:r w:rsidR="00C547EA">
        <w:rPr>
          <w:color w:val="000000"/>
          <w:sz w:val="22"/>
          <w:szCs w:val="22"/>
        </w:rPr>
        <w:t>postsecondary/training programs</w:t>
      </w:r>
      <w:r w:rsidR="00E00EA0">
        <w:rPr>
          <w:color w:val="000000"/>
          <w:sz w:val="22"/>
          <w:szCs w:val="22"/>
        </w:rPr>
        <w:t xml:space="preserve">, career planning, and </w:t>
      </w:r>
      <w:r w:rsidR="001945EF">
        <w:rPr>
          <w:color w:val="000000"/>
          <w:sz w:val="22"/>
          <w:szCs w:val="22"/>
        </w:rPr>
        <w:t xml:space="preserve">connecting to </w:t>
      </w:r>
      <w:r w:rsidR="001D5B34">
        <w:rPr>
          <w:color w:val="000000"/>
          <w:sz w:val="22"/>
          <w:szCs w:val="22"/>
        </w:rPr>
        <w:t>employment opportunities</w:t>
      </w:r>
    </w:p>
    <w:p w14:paraId="36C0550B" w14:textId="770D0451" w:rsidR="001D5B34" w:rsidRDefault="00E335BC" w:rsidP="00D90CF9">
      <w:pPr>
        <w:pStyle w:val="BodyTextIndent2"/>
        <w:keepLines/>
        <w:numPr>
          <w:ilvl w:val="3"/>
          <w:numId w:val="3"/>
        </w:numPr>
        <w:tabs>
          <w:tab w:val="clear" w:pos="-720"/>
          <w:tab w:val="clear" w:pos="2880"/>
          <w:tab w:val="left" w:pos="0"/>
          <w:tab w:val="num" w:pos="2520"/>
        </w:tabs>
        <w:suppressAutoHyphens w:val="0"/>
        <w:spacing w:after="240"/>
        <w:ind w:left="1080"/>
        <w:rPr>
          <w:color w:val="000000"/>
          <w:sz w:val="22"/>
          <w:szCs w:val="22"/>
        </w:rPr>
      </w:pPr>
      <w:r>
        <w:rPr>
          <w:color w:val="000000"/>
          <w:sz w:val="22"/>
          <w:szCs w:val="22"/>
        </w:rPr>
        <w:t>WIOA Title II</w:t>
      </w:r>
      <w:r w:rsidR="009A557D">
        <w:rPr>
          <w:color w:val="000000"/>
          <w:sz w:val="22"/>
          <w:szCs w:val="22"/>
        </w:rPr>
        <w:t>I</w:t>
      </w:r>
      <w:r>
        <w:rPr>
          <w:color w:val="000000"/>
          <w:sz w:val="22"/>
          <w:szCs w:val="22"/>
        </w:rPr>
        <w:t xml:space="preserve"> – Employment </w:t>
      </w:r>
      <w:r w:rsidR="00D36D44" w:rsidRPr="00EE7081">
        <w:rPr>
          <w:color w:val="000000"/>
          <w:sz w:val="22"/>
          <w:szCs w:val="22"/>
        </w:rPr>
        <w:t>services</w:t>
      </w:r>
      <w:r w:rsidR="003A0B29">
        <w:rPr>
          <w:color w:val="000000"/>
          <w:sz w:val="22"/>
          <w:szCs w:val="22"/>
        </w:rPr>
        <w:t>:</w:t>
      </w:r>
      <w:r w:rsidR="00823C14">
        <w:rPr>
          <w:color w:val="000000"/>
          <w:sz w:val="22"/>
          <w:szCs w:val="22"/>
        </w:rPr>
        <w:t xml:space="preserve"> </w:t>
      </w:r>
      <w:r w:rsidR="00113A00">
        <w:rPr>
          <w:color w:val="000000"/>
          <w:sz w:val="22"/>
          <w:szCs w:val="22"/>
        </w:rPr>
        <w:t xml:space="preserve">assistance with </w:t>
      </w:r>
      <w:r w:rsidR="00D36D44" w:rsidRPr="00EE7081">
        <w:rPr>
          <w:color w:val="000000"/>
          <w:sz w:val="22"/>
          <w:szCs w:val="22"/>
        </w:rPr>
        <w:t>job search</w:t>
      </w:r>
      <w:r w:rsidR="00F0786E">
        <w:rPr>
          <w:color w:val="000000"/>
          <w:sz w:val="22"/>
          <w:szCs w:val="22"/>
        </w:rPr>
        <w:t xml:space="preserve"> </w:t>
      </w:r>
      <w:r w:rsidR="00D36D44" w:rsidRPr="00EE7081">
        <w:rPr>
          <w:color w:val="000000"/>
          <w:sz w:val="22"/>
          <w:szCs w:val="22"/>
        </w:rPr>
        <w:t>and placement</w:t>
      </w:r>
      <w:r w:rsidR="00DC6B1B">
        <w:rPr>
          <w:color w:val="000000"/>
          <w:sz w:val="22"/>
          <w:szCs w:val="22"/>
        </w:rPr>
        <w:t xml:space="preserve"> via </w:t>
      </w:r>
      <w:r w:rsidR="00D36D44" w:rsidRPr="00EE7081">
        <w:rPr>
          <w:color w:val="000000"/>
          <w:sz w:val="22"/>
          <w:szCs w:val="22"/>
        </w:rPr>
        <w:t>WIOA Title III)</w:t>
      </w:r>
    </w:p>
    <w:p w14:paraId="33EEE3A3" w14:textId="3D53820F" w:rsidR="00D36D44" w:rsidRDefault="001D5B34" w:rsidP="00D90CF9">
      <w:pPr>
        <w:pStyle w:val="BodyTextIndent2"/>
        <w:keepLines/>
        <w:numPr>
          <w:ilvl w:val="3"/>
          <w:numId w:val="3"/>
        </w:numPr>
        <w:tabs>
          <w:tab w:val="clear" w:pos="-720"/>
          <w:tab w:val="clear" w:pos="2880"/>
          <w:tab w:val="left" w:pos="0"/>
          <w:tab w:val="num" w:pos="2520"/>
        </w:tabs>
        <w:suppressAutoHyphens w:val="0"/>
        <w:ind w:left="1080"/>
        <w:rPr>
          <w:color w:val="000000"/>
          <w:sz w:val="22"/>
          <w:szCs w:val="22"/>
        </w:rPr>
      </w:pPr>
      <w:r>
        <w:rPr>
          <w:color w:val="000000"/>
          <w:sz w:val="22"/>
          <w:szCs w:val="22"/>
        </w:rPr>
        <w:t xml:space="preserve">WIOA Title IV – Vocational </w:t>
      </w:r>
      <w:r w:rsidR="00D36D44" w:rsidRPr="00EE7081">
        <w:rPr>
          <w:color w:val="000000"/>
          <w:sz w:val="22"/>
          <w:szCs w:val="22"/>
        </w:rPr>
        <w:t>rehabilitation</w:t>
      </w:r>
      <w:r>
        <w:rPr>
          <w:color w:val="000000"/>
          <w:sz w:val="22"/>
          <w:szCs w:val="22"/>
        </w:rPr>
        <w:t>:</w:t>
      </w:r>
      <w:r w:rsidR="002070ED">
        <w:rPr>
          <w:color w:val="000000"/>
          <w:sz w:val="22"/>
          <w:szCs w:val="22"/>
        </w:rPr>
        <w:t xml:space="preserve"> </w:t>
      </w:r>
      <w:r w:rsidR="00B703AC">
        <w:rPr>
          <w:color w:val="000000"/>
          <w:sz w:val="22"/>
          <w:szCs w:val="22"/>
        </w:rPr>
        <w:t>assistance for individuals with disabilities</w:t>
      </w:r>
      <w:r w:rsidR="00286B1F">
        <w:rPr>
          <w:color w:val="000000"/>
          <w:sz w:val="22"/>
          <w:szCs w:val="22"/>
        </w:rPr>
        <w:t>, including</w:t>
      </w:r>
      <w:r w:rsidR="00AC5E32">
        <w:rPr>
          <w:color w:val="000000"/>
          <w:sz w:val="22"/>
          <w:szCs w:val="22"/>
        </w:rPr>
        <w:t xml:space="preserve"> </w:t>
      </w:r>
      <w:r w:rsidR="00532AA9">
        <w:rPr>
          <w:color w:val="000000"/>
          <w:sz w:val="22"/>
          <w:szCs w:val="22"/>
        </w:rPr>
        <w:t xml:space="preserve">job </w:t>
      </w:r>
      <w:r w:rsidR="00CB1D0A">
        <w:rPr>
          <w:color w:val="000000"/>
          <w:sz w:val="22"/>
          <w:szCs w:val="22"/>
        </w:rPr>
        <w:t>training</w:t>
      </w:r>
      <w:r w:rsidR="00286B1F">
        <w:rPr>
          <w:color w:val="000000"/>
          <w:sz w:val="22"/>
          <w:szCs w:val="22"/>
        </w:rPr>
        <w:t xml:space="preserve"> and</w:t>
      </w:r>
      <w:r w:rsidR="00981701">
        <w:rPr>
          <w:color w:val="000000"/>
          <w:sz w:val="22"/>
          <w:szCs w:val="22"/>
        </w:rPr>
        <w:t xml:space="preserve"> job search and placement</w:t>
      </w:r>
    </w:p>
    <w:p w14:paraId="2DFCFBB6" w14:textId="77777777" w:rsidR="00C97476" w:rsidRDefault="00C97476" w:rsidP="00C97476">
      <w:pPr>
        <w:pStyle w:val="BodyTextIndent2"/>
        <w:keepLines/>
        <w:tabs>
          <w:tab w:val="clear" w:pos="-720"/>
          <w:tab w:val="left" w:pos="0"/>
        </w:tabs>
        <w:suppressAutoHyphens w:val="0"/>
        <w:rPr>
          <w:color w:val="000000"/>
          <w:sz w:val="22"/>
          <w:szCs w:val="22"/>
        </w:rPr>
      </w:pPr>
    </w:p>
    <w:p w14:paraId="5314365F" w14:textId="00B8B1EC" w:rsidR="00885D45" w:rsidRDefault="00885D45" w:rsidP="00885D45">
      <w:pPr>
        <w:pStyle w:val="Heading3"/>
      </w:pPr>
      <w:r w:rsidRPr="00EE7081">
        <w:t>American Job Centers</w:t>
      </w:r>
    </w:p>
    <w:p w14:paraId="30039FBA" w14:textId="77777777" w:rsidR="00885D45" w:rsidRPr="00885D45" w:rsidRDefault="00885D45" w:rsidP="00885D45"/>
    <w:p w14:paraId="082D7104" w14:textId="63C6F9D1" w:rsidR="00117903" w:rsidRPr="00EE7081" w:rsidRDefault="00CC15D5" w:rsidP="00117903">
      <w:pPr>
        <w:keepLines/>
      </w:pPr>
      <w:r w:rsidRPr="00EE7081">
        <w:rPr>
          <w:color w:val="000000"/>
        </w:rPr>
        <w:t xml:space="preserve">The coordination of the core WIOA programs occurs through the “one-stop system”. </w:t>
      </w:r>
      <w:r w:rsidR="00D36D44" w:rsidRPr="00EE7081">
        <w:rPr>
          <w:color w:val="000000"/>
        </w:rPr>
        <w:t xml:space="preserve">The Adult Education program (WIOA Title II), as a core WIOA partner, is also designated as a “one-stop partner”. One-stop partners are required to provide </w:t>
      </w:r>
      <w:r w:rsidR="00DB3425">
        <w:rPr>
          <w:color w:val="000000"/>
        </w:rPr>
        <w:t xml:space="preserve">applicable career </w:t>
      </w:r>
      <w:r w:rsidR="00D36D44" w:rsidRPr="00EE7081">
        <w:rPr>
          <w:color w:val="000000"/>
        </w:rPr>
        <w:t xml:space="preserve">services and infrastructure </w:t>
      </w:r>
      <w:r w:rsidRPr="00EE7081">
        <w:rPr>
          <w:color w:val="000000"/>
        </w:rPr>
        <w:t>funding</w:t>
      </w:r>
      <w:r w:rsidR="00D36D44" w:rsidRPr="00EE7081">
        <w:rPr>
          <w:color w:val="000000"/>
        </w:rPr>
        <w:t xml:space="preserve"> in each of Tennessee’s comprehensive </w:t>
      </w:r>
      <w:r w:rsidRPr="00EE7081">
        <w:rPr>
          <w:color w:val="000000"/>
        </w:rPr>
        <w:t>American Job Centers (AJCs)</w:t>
      </w:r>
      <w:r w:rsidR="00675BD4" w:rsidRPr="00EE7081">
        <w:rPr>
          <w:color w:val="000000"/>
        </w:rPr>
        <w:t>.</w:t>
      </w:r>
      <w:r w:rsidR="00675BD4" w:rsidRPr="00EE7081">
        <w:rPr>
          <w:rStyle w:val="FootnoteReference"/>
          <w:color w:val="000000"/>
        </w:rPr>
        <w:footnoteReference w:id="34"/>
      </w:r>
      <w:r w:rsidRPr="00EE7081">
        <w:rPr>
          <w:color w:val="000000"/>
        </w:rPr>
        <w:t xml:space="preserve"> </w:t>
      </w:r>
      <w:r w:rsidR="00117903">
        <w:rPr>
          <w:color w:val="000000"/>
        </w:rPr>
        <w:t xml:space="preserve">There are comprehensive AJCs established in each of Tennessee’s designated LWDAs. Adult Education </w:t>
      </w:r>
      <w:r w:rsidR="00117903" w:rsidRPr="00EE7081">
        <w:rPr>
          <w:color w:val="000000"/>
        </w:rPr>
        <w:t>services and funds</w:t>
      </w:r>
      <w:r w:rsidR="00117903">
        <w:rPr>
          <w:color w:val="000000"/>
        </w:rPr>
        <w:t xml:space="preserve"> can also be provided</w:t>
      </w:r>
      <w:r w:rsidR="00117903" w:rsidRPr="00EE7081">
        <w:rPr>
          <w:color w:val="000000"/>
        </w:rPr>
        <w:t xml:space="preserve"> in the affiliate (non-comprehensive) AJCs if the needs and costs are justifiable. A list of all AJCs in Tennessee can be found on the</w:t>
      </w:r>
      <w:r w:rsidR="00B471A2">
        <w:rPr>
          <w:color w:val="000000"/>
        </w:rPr>
        <w:t xml:space="preserve"> TDLWD website</w:t>
      </w:r>
      <w:r w:rsidR="00117903" w:rsidRPr="00EE7081">
        <w:rPr>
          <w:color w:val="000000"/>
        </w:rPr>
        <w:t xml:space="preserve"> (</w:t>
      </w:r>
      <w:hyperlink r:id="rId34" w:history="1">
        <w:r w:rsidR="00117903" w:rsidRPr="00EE7081">
          <w:rPr>
            <w:rStyle w:val="Hyperlink"/>
            <w:b/>
          </w:rPr>
          <w:t>click here for link</w:t>
        </w:r>
      </w:hyperlink>
      <w:r w:rsidR="00117903" w:rsidRPr="00EE7081">
        <w:rPr>
          <w:color w:val="000000"/>
        </w:rPr>
        <w:t>).</w:t>
      </w:r>
    </w:p>
    <w:p w14:paraId="1B045C60" w14:textId="77777777" w:rsidR="00117903" w:rsidRDefault="00117903" w:rsidP="00114DD4">
      <w:pPr>
        <w:keepLines/>
        <w:widowControl w:val="0"/>
        <w:rPr>
          <w:color w:val="000000"/>
        </w:rPr>
      </w:pPr>
    </w:p>
    <w:p w14:paraId="174FF3AC" w14:textId="46C0840A" w:rsidR="00616941" w:rsidRDefault="00616941" w:rsidP="00616941">
      <w:pPr>
        <w:pStyle w:val="Heading3"/>
      </w:pPr>
      <w:r>
        <w:t>MOU</w:t>
      </w:r>
      <w:r w:rsidR="00C00145" w:rsidRPr="00C00145">
        <w:rPr>
          <w:caps w:val="0"/>
          <w:smallCaps/>
        </w:rPr>
        <w:t>s</w:t>
      </w:r>
      <w:r w:rsidR="00C00145">
        <w:t xml:space="preserve"> </w:t>
      </w:r>
      <w:r>
        <w:t>&amp; IFA</w:t>
      </w:r>
      <w:r w:rsidRPr="00C00145">
        <w:rPr>
          <w:caps w:val="0"/>
          <w:smallCaps/>
        </w:rPr>
        <w:t>s</w:t>
      </w:r>
    </w:p>
    <w:p w14:paraId="4CB207C8" w14:textId="77777777" w:rsidR="00616941" w:rsidRPr="00616941" w:rsidRDefault="00616941" w:rsidP="00616941"/>
    <w:p w14:paraId="2C430778" w14:textId="3F8B8E40" w:rsidR="00832EBA" w:rsidRDefault="00675BD4" w:rsidP="00FC2453">
      <w:pPr>
        <w:keepLines/>
        <w:widowControl w:val="0"/>
        <w:contextualSpacing/>
        <w:rPr>
          <w:color w:val="000000"/>
        </w:rPr>
      </w:pPr>
      <w:r w:rsidRPr="00EE7081">
        <w:rPr>
          <w:color w:val="000000"/>
        </w:rPr>
        <w:t xml:space="preserve">The </w:t>
      </w:r>
      <w:r w:rsidR="00CC15D5" w:rsidRPr="00EE7081">
        <w:rPr>
          <w:color w:val="000000"/>
        </w:rPr>
        <w:t>scope of services and</w:t>
      </w:r>
      <w:r w:rsidRPr="00EE7081">
        <w:rPr>
          <w:color w:val="000000"/>
        </w:rPr>
        <w:t xml:space="preserve"> infrastructure costs</w:t>
      </w:r>
      <w:r w:rsidR="00CC15D5" w:rsidRPr="00EE7081">
        <w:rPr>
          <w:color w:val="000000"/>
        </w:rPr>
        <w:t xml:space="preserve"> to be contributed</w:t>
      </w:r>
      <w:r w:rsidRPr="00EE7081">
        <w:rPr>
          <w:color w:val="000000"/>
        </w:rPr>
        <w:t xml:space="preserve"> </w:t>
      </w:r>
      <w:r w:rsidR="00CC15D5" w:rsidRPr="00EE7081">
        <w:rPr>
          <w:color w:val="000000"/>
        </w:rPr>
        <w:t xml:space="preserve">at each AJC </w:t>
      </w:r>
      <w:r w:rsidRPr="00EE7081">
        <w:rPr>
          <w:color w:val="000000"/>
        </w:rPr>
        <w:t>are established via a memorandum of understanding (MOU)</w:t>
      </w:r>
      <w:r w:rsidR="00D36D44" w:rsidRPr="00EE7081">
        <w:rPr>
          <w:color w:val="000000"/>
        </w:rPr>
        <w:t xml:space="preserve"> </w:t>
      </w:r>
      <w:r w:rsidR="00CB1B48">
        <w:rPr>
          <w:color w:val="000000"/>
        </w:rPr>
        <w:t xml:space="preserve">and Infrastructure Funding Agreement (IFA) </w:t>
      </w:r>
      <w:r w:rsidR="00D36D44" w:rsidRPr="00EE7081">
        <w:rPr>
          <w:color w:val="000000"/>
        </w:rPr>
        <w:t xml:space="preserve">between the </w:t>
      </w:r>
      <w:r w:rsidR="00117903">
        <w:rPr>
          <w:color w:val="000000"/>
        </w:rPr>
        <w:t>one-stop</w:t>
      </w:r>
      <w:r w:rsidR="00D36D44" w:rsidRPr="00EE7081">
        <w:rPr>
          <w:color w:val="000000"/>
        </w:rPr>
        <w:t xml:space="preserve"> </w:t>
      </w:r>
      <w:r w:rsidR="00CC15D5" w:rsidRPr="00EE7081">
        <w:rPr>
          <w:color w:val="000000"/>
        </w:rPr>
        <w:t>partners</w:t>
      </w:r>
      <w:r w:rsidR="00117903">
        <w:rPr>
          <w:color w:val="000000"/>
        </w:rPr>
        <w:t xml:space="preserve"> in each LWDA</w:t>
      </w:r>
      <w:r w:rsidRPr="00EE7081">
        <w:rPr>
          <w:color w:val="000000"/>
        </w:rPr>
        <w:t xml:space="preserve">. </w:t>
      </w:r>
      <w:r w:rsidR="00114DD4">
        <w:rPr>
          <w:color w:val="000000"/>
        </w:rPr>
        <w:t xml:space="preserve">TDLWD is the agency responsible for representing the Adult Education program as the one-stop partner; however, in practice, </w:t>
      </w:r>
      <w:r w:rsidR="000928BE">
        <w:rPr>
          <w:color w:val="000000"/>
        </w:rPr>
        <w:t>TDLWD</w:t>
      </w:r>
      <w:r w:rsidRPr="00EE7081">
        <w:rPr>
          <w:color w:val="000000"/>
        </w:rPr>
        <w:t xml:space="preserve"> </w:t>
      </w:r>
      <w:r w:rsidR="00114DD4">
        <w:rPr>
          <w:color w:val="000000"/>
        </w:rPr>
        <w:t>delegates these responsibilities to its local grantees.</w:t>
      </w:r>
      <w:r w:rsidR="009C3472">
        <w:rPr>
          <w:rStyle w:val="FootnoteReference"/>
          <w:color w:val="000000"/>
        </w:rPr>
        <w:footnoteReference w:id="35"/>
      </w:r>
      <w:r w:rsidR="00114DD4">
        <w:rPr>
          <w:color w:val="000000"/>
        </w:rPr>
        <w:t xml:space="preserve"> </w:t>
      </w:r>
      <w:r w:rsidR="005F5248">
        <w:rPr>
          <w:color w:val="000000"/>
        </w:rPr>
        <w:t xml:space="preserve">TDLWD will provide supplemental funding to grantees who need to contribute to the AJC infrastructure costs. </w:t>
      </w:r>
      <w:r w:rsidR="00A6466A">
        <w:rPr>
          <w:color w:val="000000"/>
        </w:rPr>
        <w:t xml:space="preserve">Applicants’ budget proposals do </w:t>
      </w:r>
      <w:r w:rsidR="00A6466A" w:rsidRPr="00AD7538">
        <w:rPr>
          <w:i/>
          <w:iCs/>
          <w:color w:val="000000"/>
        </w:rPr>
        <w:t>not</w:t>
      </w:r>
      <w:r w:rsidR="00A6466A">
        <w:rPr>
          <w:color w:val="000000"/>
        </w:rPr>
        <w:t xml:space="preserve"> need to include these infrastructure costs.</w:t>
      </w:r>
    </w:p>
    <w:p w14:paraId="7AE8FFF7" w14:textId="77777777" w:rsidR="00832EBA" w:rsidRDefault="00832EBA" w:rsidP="00FC2453">
      <w:pPr>
        <w:keepLines/>
        <w:widowControl w:val="0"/>
        <w:contextualSpacing/>
        <w:rPr>
          <w:color w:val="000000"/>
        </w:rPr>
      </w:pPr>
    </w:p>
    <w:p w14:paraId="46FBE981" w14:textId="3EB38507" w:rsidR="00675BD4" w:rsidRDefault="00114DD4" w:rsidP="00FC2453">
      <w:pPr>
        <w:keepLines/>
        <w:widowControl w:val="0"/>
        <w:contextualSpacing/>
        <w:rPr>
          <w:color w:val="000000"/>
        </w:rPr>
      </w:pPr>
      <w:r>
        <w:rPr>
          <w:color w:val="000000"/>
        </w:rPr>
        <w:lastRenderedPageBreak/>
        <w:t>When</w:t>
      </w:r>
      <w:r w:rsidRPr="00EE7081">
        <w:rPr>
          <w:color w:val="000000"/>
        </w:rPr>
        <w:t xml:space="preserve"> there are multiple </w:t>
      </w:r>
      <w:r w:rsidR="00117903">
        <w:rPr>
          <w:color w:val="000000"/>
        </w:rPr>
        <w:t xml:space="preserve">local </w:t>
      </w:r>
      <w:r w:rsidRPr="00EE7081">
        <w:rPr>
          <w:color w:val="000000"/>
        </w:rPr>
        <w:t>Adult Education providers in a</w:t>
      </w:r>
      <w:r w:rsidR="00117903">
        <w:rPr>
          <w:color w:val="000000"/>
        </w:rPr>
        <w:t xml:space="preserve"> LWDA</w:t>
      </w:r>
      <w:r w:rsidRPr="00EE7081">
        <w:rPr>
          <w:color w:val="000000"/>
        </w:rPr>
        <w:t xml:space="preserve">, </w:t>
      </w:r>
      <w:r w:rsidR="00E30487">
        <w:rPr>
          <w:color w:val="000000"/>
        </w:rPr>
        <w:t xml:space="preserve">TDLWD will facilitate a collaboration </w:t>
      </w:r>
      <w:r w:rsidR="001376B5">
        <w:rPr>
          <w:color w:val="000000"/>
        </w:rPr>
        <w:t>between the providers to</w:t>
      </w:r>
      <w:r w:rsidR="00FC2453">
        <w:rPr>
          <w:color w:val="000000"/>
        </w:rPr>
        <w:t xml:space="preserve"> determine</w:t>
      </w:r>
      <w:r w:rsidRPr="00EE7081">
        <w:rPr>
          <w:color w:val="000000"/>
        </w:rPr>
        <w:t xml:space="preserve"> the degree to which each will contribute to the AJC services and funding (based on physical proximity and relative benefit to the programs). </w:t>
      </w:r>
      <w:r>
        <w:rPr>
          <w:color w:val="000000"/>
        </w:rPr>
        <w:t>T</w:t>
      </w:r>
      <w:r w:rsidR="000928BE">
        <w:rPr>
          <w:color w:val="000000"/>
        </w:rPr>
        <w:t xml:space="preserve">DLWD will provide ongoing </w:t>
      </w:r>
      <w:r w:rsidR="00CC15D5" w:rsidRPr="00EE7081">
        <w:rPr>
          <w:color w:val="000000"/>
        </w:rPr>
        <w:t xml:space="preserve">guidance to grantees concerning the </w:t>
      </w:r>
      <w:r w:rsidR="001C2325" w:rsidRPr="00EE7081">
        <w:rPr>
          <w:color w:val="000000"/>
        </w:rPr>
        <w:t>AJC requirements</w:t>
      </w:r>
      <w:r w:rsidR="00CB1B48">
        <w:rPr>
          <w:color w:val="000000"/>
        </w:rPr>
        <w:t xml:space="preserve"> and the IFA and</w:t>
      </w:r>
      <w:r w:rsidR="001C2325" w:rsidRPr="00EE7081">
        <w:rPr>
          <w:color w:val="000000"/>
        </w:rPr>
        <w:t xml:space="preserve"> </w:t>
      </w:r>
      <w:r w:rsidR="00CC15D5" w:rsidRPr="00EE7081">
        <w:rPr>
          <w:color w:val="000000"/>
        </w:rPr>
        <w:t>MOU negotiation process.</w:t>
      </w:r>
      <w:r w:rsidR="001C2325" w:rsidRPr="00EE7081">
        <w:rPr>
          <w:rStyle w:val="FootnoteReference"/>
        </w:rPr>
        <w:footnoteReference w:id="36"/>
      </w:r>
    </w:p>
    <w:p w14:paraId="1FC41F13" w14:textId="77777777" w:rsidR="009C4353" w:rsidRDefault="009C4353" w:rsidP="00831FBE">
      <w:pPr>
        <w:pStyle w:val="Heading3"/>
      </w:pPr>
    </w:p>
    <w:p w14:paraId="256AEBAF" w14:textId="7783395C" w:rsidR="00831FBE" w:rsidRDefault="00831FBE" w:rsidP="00831FBE">
      <w:pPr>
        <w:pStyle w:val="Heading3"/>
      </w:pPr>
      <w:r>
        <w:t>Workforce Development Initiatives</w:t>
      </w:r>
    </w:p>
    <w:p w14:paraId="4D61B78D" w14:textId="77777777" w:rsidR="001E6C0B" w:rsidRDefault="001E6C0B" w:rsidP="001E6C0B"/>
    <w:p w14:paraId="585C6562" w14:textId="66DE8664" w:rsidR="000059B4" w:rsidRDefault="000059B4" w:rsidP="000059B4">
      <w:r>
        <w:t xml:space="preserve">To ensure adult education </w:t>
      </w:r>
      <w:r w:rsidR="00D82029">
        <w:t xml:space="preserve">services connect with </w:t>
      </w:r>
      <w:r w:rsidR="00D25BD6">
        <w:t>workforce and career opportunities for participants</w:t>
      </w:r>
      <w:r w:rsidR="00090673">
        <w:t xml:space="preserve">, grantees must strive to </w:t>
      </w:r>
      <w:r w:rsidR="00310BF8">
        <w:t>implement and expand “</w:t>
      </w:r>
      <w:r w:rsidR="0067159B">
        <w:t>w</w:t>
      </w:r>
      <w:r w:rsidR="00310BF8">
        <w:t xml:space="preserve">orkforce </w:t>
      </w:r>
      <w:r w:rsidR="0067159B">
        <w:t>d</w:t>
      </w:r>
      <w:r w:rsidR="00310BF8">
        <w:t xml:space="preserve">evelopment </w:t>
      </w:r>
      <w:r w:rsidR="0067159B">
        <w:t>i</w:t>
      </w:r>
      <w:r w:rsidR="00310BF8">
        <w:t>nitiatives</w:t>
      </w:r>
      <w:r w:rsidR="6CD3F62D">
        <w:t>”</w:t>
      </w:r>
      <w:r w:rsidR="57183821">
        <w:t>.</w:t>
      </w:r>
      <w:r w:rsidR="00310BF8">
        <w:t xml:space="preserve"> </w:t>
      </w:r>
      <w:r w:rsidR="008C56AB">
        <w:t xml:space="preserve">These </w:t>
      </w:r>
      <w:r w:rsidR="006F1BE4">
        <w:t xml:space="preserve">can </w:t>
      </w:r>
      <w:r w:rsidR="008C56AB">
        <w:t xml:space="preserve">include </w:t>
      </w:r>
      <w:r w:rsidR="00B975EF">
        <w:t xml:space="preserve">pre-apprenticeship, integrated </w:t>
      </w:r>
      <w:proofErr w:type="gramStart"/>
      <w:r w:rsidR="00B975EF">
        <w:t>education</w:t>
      </w:r>
      <w:proofErr w:type="gramEnd"/>
      <w:r w:rsidR="00B975EF">
        <w:t xml:space="preserve"> and training</w:t>
      </w:r>
      <w:r w:rsidR="009D61D8">
        <w:t xml:space="preserve"> (IET)</w:t>
      </w:r>
      <w:r w:rsidR="00B975EF">
        <w:t xml:space="preserve">, workplace learning, </w:t>
      </w:r>
      <w:r w:rsidR="008E5FD8">
        <w:t>postsecondary prep, and postsecondary dual enrollment programs.</w:t>
      </w:r>
      <w:r w:rsidR="00AB31A7">
        <w:t xml:space="preserve"> </w:t>
      </w:r>
      <w:r w:rsidR="00EB694B">
        <w:t xml:space="preserve">For IELCE </w:t>
      </w:r>
      <w:r w:rsidR="009D61D8">
        <w:t xml:space="preserve">grantees, IET </w:t>
      </w:r>
      <w:r w:rsidR="008F10F7">
        <w:t>activities</w:t>
      </w:r>
      <w:r w:rsidR="009D61D8">
        <w:t xml:space="preserve"> are required to be </w:t>
      </w:r>
      <w:r w:rsidR="00453E0C">
        <w:t>part of the program</w:t>
      </w:r>
      <w:r w:rsidR="0083391B">
        <w:t xml:space="preserve"> service offering.</w:t>
      </w:r>
      <w:r w:rsidR="00453E0C">
        <w:t xml:space="preserve"> </w:t>
      </w:r>
      <w:r>
        <w:t>TDLWD will provide ongoing guidance concerning</w:t>
      </w:r>
      <w:r w:rsidR="00A96103">
        <w:t xml:space="preserve"> workforce development initiatives and expectations.</w:t>
      </w:r>
    </w:p>
    <w:p w14:paraId="19FCBAC1" w14:textId="77777777" w:rsidR="00753E78" w:rsidRDefault="00753E78" w:rsidP="000059B4"/>
    <w:p w14:paraId="6D147790" w14:textId="6B70BB09" w:rsidR="00753E78" w:rsidRPr="00943156" w:rsidRDefault="00753E78" w:rsidP="00753E78">
      <w:pPr>
        <w:pStyle w:val="Heading3"/>
      </w:pPr>
      <w:r>
        <w:t>Workforce Preparation Activities</w:t>
      </w:r>
    </w:p>
    <w:p w14:paraId="5DA33D91" w14:textId="77777777" w:rsidR="0024407F" w:rsidRDefault="0024407F" w:rsidP="001E6C0B"/>
    <w:p w14:paraId="15CCBAE0" w14:textId="7FE075C1" w:rsidR="00AB31A7" w:rsidRDefault="00753E78" w:rsidP="00AB31A7">
      <w:r>
        <w:t xml:space="preserve">To further ensure adult education students advance their workforce preparedness </w:t>
      </w:r>
      <w:r w:rsidR="00D67D3D">
        <w:t>skills, grantees must strive to implement and expand “</w:t>
      </w:r>
      <w:r w:rsidR="00506804">
        <w:t>w</w:t>
      </w:r>
      <w:r w:rsidR="00D67D3D">
        <w:t>orkfo</w:t>
      </w:r>
      <w:r w:rsidR="00D136A3">
        <w:t xml:space="preserve">rce </w:t>
      </w:r>
      <w:r w:rsidR="00E35462">
        <w:t>p</w:t>
      </w:r>
      <w:r w:rsidR="00D136A3">
        <w:t xml:space="preserve">reparation </w:t>
      </w:r>
      <w:r w:rsidR="00E35462">
        <w:t>a</w:t>
      </w:r>
      <w:r w:rsidR="00D136A3">
        <w:t xml:space="preserve">ctivities”. These can include digital literacy, soft skills, and other </w:t>
      </w:r>
      <w:r w:rsidR="00AB31A7">
        <w:t xml:space="preserve">skills necessary to succeed in postsecondary education/training or employment. TDLWD will provide ongoing guidance concerning workforce preparation activities and expectations. </w:t>
      </w:r>
    </w:p>
    <w:p w14:paraId="6DE32F72" w14:textId="3FA007B9" w:rsidR="00AF7BBE" w:rsidRDefault="00AF7BBE" w:rsidP="00EA0734">
      <w:pPr>
        <w:keepLines/>
        <w:rPr>
          <w:color w:val="000000"/>
        </w:rPr>
      </w:pPr>
    </w:p>
    <w:p w14:paraId="1105D61D" w14:textId="0B3BF856" w:rsidR="00EB4A65" w:rsidRDefault="00EB4A65" w:rsidP="00EB4A65">
      <w:pPr>
        <w:pStyle w:val="Heading3"/>
      </w:pPr>
      <w:r>
        <w:t xml:space="preserve">Supportive </w:t>
      </w:r>
      <w:r w:rsidR="00FB4C59">
        <w:t xml:space="preserve">Services </w:t>
      </w:r>
      <w:r>
        <w:t>and wraparound service</w:t>
      </w:r>
      <w:r w:rsidR="00FB4C59">
        <w:t xml:space="preserve"> Delivery</w:t>
      </w:r>
    </w:p>
    <w:p w14:paraId="45A8D2CA" w14:textId="77777777" w:rsidR="00EB4A65" w:rsidRDefault="00EB4A65" w:rsidP="00EB4A65"/>
    <w:p w14:paraId="23B6997C" w14:textId="6AF53A7C" w:rsidR="0000776F" w:rsidRDefault="00E3205F" w:rsidP="00EB4A65">
      <w:pPr>
        <w:sectPr w:rsidR="0000776F" w:rsidSect="00992302">
          <w:headerReference w:type="default" r:id="rId35"/>
          <w:pgSz w:w="12240" w:h="15840"/>
          <w:pgMar w:top="1440" w:right="1440" w:bottom="1440" w:left="1440" w:header="720" w:footer="720" w:gutter="0"/>
          <w:cols w:space="720"/>
          <w:docGrid w:linePitch="360"/>
        </w:sectPr>
      </w:pPr>
      <w:r>
        <w:t xml:space="preserve">To </w:t>
      </w:r>
      <w:r w:rsidR="00415E5D">
        <w:t>help</w:t>
      </w:r>
      <w:r>
        <w:t xml:space="preserve"> adult education students</w:t>
      </w:r>
      <w:r w:rsidR="00CB6AF1">
        <w:t xml:space="preserve"> </w:t>
      </w:r>
      <w:r w:rsidR="00B47ABB">
        <w:t xml:space="preserve">succeed in the program and </w:t>
      </w:r>
      <w:r w:rsidR="00616108">
        <w:t xml:space="preserve">achieve </w:t>
      </w:r>
      <w:r w:rsidR="00B47ABB">
        <w:t xml:space="preserve">their education and career goals, </w:t>
      </w:r>
      <w:r>
        <w:t xml:space="preserve">grantees must strive to </w:t>
      </w:r>
      <w:r w:rsidR="004E5560">
        <w:t xml:space="preserve">assist students with accessing supportive </w:t>
      </w:r>
      <w:r w:rsidR="00FB4C59">
        <w:t xml:space="preserve">services </w:t>
      </w:r>
      <w:r w:rsidR="004E5560">
        <w:t>and wraparound servic</w:t>
      </w:r>
      <w:r w:rsidR="00FB4C59">
        <w:t>e delivery</w:t>
      </w:r>
      <w:r w:rsidR="004E5560">
        <w:t xml:space="preserve">. Supportive services include things such as </w:t>
      </w:r>
      <w:r w:rsidR="007F6D57">
        <w:t xml:space="preserve">transportation, </w:t>
      </w:r>
      <w:r w:rsidR="002323A9">
        <w:t>childcare</w:t>
      </w:r>
      <w:r w:rsidR="007F6D57">
        <w:t>, food, and housing. Wraparound service</w:t>
      </w:r>
      <w:r w:rsidR="005B2598">
        <w:t xml:space="preserve"> delivery is a holistic approach to serving a participant—it</w:t>
      </w:r>
      <w:r w:rsidR="00922EBD">
        <w:t xml:space="preserve"> includes </w:t>
      </w:r>
      <w:r w:rsidR="00CD2FFC">
        <w:t>assisting an individual to co-enroll</w:t>
      </w:r>
      <w:r w:rsidR="00083B42">
        <w:t xml:space="preserve"> and succeed</w:t>
      </w:r>
      <w:r w:rsidR="00CD2FFC">
        <w:t xml:space="preserve"> in whatever prog</w:t>
      </w:r>
      <w:r w:rsidR="00DD5484">
        <w:t xml:space="preserve">rams and services are necessary </w:t>
      </w:r>
      <w:r w:rsidR="006C176F">
        <w:t xml:space="preserve">for </w:t>
      </w:r>
      <w:r w:rsidR="00DD5484">
        <w:t>their education-training-career pathway.</w:t>
      </w:r>
      <w:r w:rsidR="00E26672">
        <w:t xml:space="preserve"> </w:t>
      </w:r>
      <w:r w:rsidR="000E3E55">
        <w:t xml:space="preserve">Grantees must </w:t>
      </w:r>
      <w:r w:rsidR="00F93997">
        <w:t xml:space="preserve">develop processes for </w:t>
      </w:r>
      <w:r w:rsidR="00DF48AB">
        <w:t>provid</w:t>
      </w:r>
      <w:r w:rsidR="00F93997">
        <w:t>ing students with information about supportive services</w:t>
      </w:r>
      <w:r w:rsidR="003C231B">
        <w:t xml:space="preserve"> and</w:t>
      </w:r>
      <w:r w:rsidR="00F93997">
        <w:t xml:space="preserve"> </w:t>
      </w:r>
      <w:r w:rsidR="003C231B">
        <w:t xml:space="preserve">assisting students to access </w:t>
      </w:r>
      <w:r w:rsidR="00C655AF">
        <w:t xml:space="preserve">those </w:t>
      </w:r>
      <w:r w:rsidR="003C231B">
        <w:t xml:space="preserve">services. </w:t>
      </w:r>
      <w:r w:rsidR="00C655AF">
        <w:t xml:space="preserve">Grantees must also strive to build </w:t>
      </w:r>
      <w:r w:rsidR="003C2E38">
        <w:t xml:space="preserve">partnerships </w:t>
      </w:r>
      <w:r w:rsidR="00C655AF">
        <w:t xml:space="preserve">and regularly collaborate with other </w:t>
      </w:r>
      <w:r w:rsidR="003C2E38">
        <w:t xml:space="preserve">service providers </w:t>
      </w:r>
      <w:r w:rsidR="00C655AF">
        <w:t xml:space="preserve">in their area </w:t>
      </w:r>
      <w:proofErr w:type="gramStart"/>
      <w:r w:rsidR="00C655AF">
        <w:t>in order to</w:t>
      </w:r>
      <w:proofErr w:type="gramEnd"/>
      <w:r w:rsidR="00C655AF">
        <w:t xml:space="preserve"> provide effective wraparound services.</w:t>
      </w:r>
      <w:r w:rsidR="00B267CA">
        <w:t xml:space="preserve"> TDLWD will provide ongoing guidance concerning supportive and wraparound services.</w:t>
      </w:r>
    </w:p>
    <w:p w14:paraId="721CF8EA" w14:textId="4EC8E821" w:rsidR="00F9664D" w:rsidRPr="00EE7081" w:rsidRDefault="00F9664D" w:rsidP="00F9664D">
      <w:pPr>
        <w:pStyle w:val="Heading1"/>
        <w:keepNext w:val="0"/>
        <w:keepLines/>
        <w:rPr>
          <w:rFonts w:ascii="Open Sans" w:hAnsi="Open Sans"/>
        </w:rPr>
      </w:pPr>
      <w:bookmarkStart w:id="38" w:name="_Toc128579623"/>
      <w:r w:rsidRPr="00EE7081">
        <w:rPr>
          <w:rFonts w:ascii="Open Sans" w:hAnsi="Open Sans"/>
        </w:rPr>
        <w:lastRenderedPageBreak/>
        <w:t xml:space="preserve">Section </w:t>
      </w:r>
      <w:r w:rsidR="00EB765A">
        <w:rPr>
          <w:rFonts w:ascii="Open Sans" w:hAnsi="Open Sans"/>
        </w:rPr>
        <w:t>7</w:t>
      </w:r>
      <w:r w:rsidRPr="00EE7081">
        <w:rPr>
          <w:rFonts w:ascii="Open Sans" w:hAnsi="Open Sans"/>
        </w:rPr>
        <w:t xml:space="preserve"> </w:t>
      </w:r>
      <w:r>
        <w:rPr>
          <w:rFonts w:ascii="Open Sans" w:hAnsi="Open Sans"/>
        </w:rPr>
        <w:t>–</w:t>
      </w:r>
      <w:r w:rsidRPr="00EE7081">
        <w:rPr>
          <w:rFonts w:ascii="Open Sans" w:hAnsi="Open Sans"/>
        </w:rPr>
        <w:t xml:space="preserve"> </w:t>
      </w:r>
      <w:r>
        <w:rPr>
          <w:rFonts w:ascii="Open Sans" w:hAnsi="Open Sans"/>
        </w:rPr>
        <w:t>CORRECTIONS EDUCATION</w:t>
      </w:r>
      <w:bookmarkEnd w:id="38"/>
    </w:p>
    <w:p w14:paraId="61115CAB" w14:textId="77777777" w:rsidR="00F9664D" w:rsidRPr="00F9664D" w:rsidRDefault="00F9664D" w:rsidP="00F9664D"/>
    <w:p w14:paraId="1CBF201B" w14:textId="46C4C576" w:rsidR="00083B2E" w:rsidRPr="0048381E" w:rsidRDefault="0053400F" w:rsidP="0048381E">
      <w:pPr>
        <w:rPr>
          <w:color w:val="000000"/>
        </w:rPr>
        <w:sectPr w:rsidR="00083B2E" w:rsidRPr="0048381E" w:rsidSect="00992302">
          <w:headerReference w:type="default" r:id="rId36"/>
          <w:pgSz w:w="12240" w:h="15840"/>
          <w:pgMar w:top="1440" w:right="1440" w:bottom="1440" w:left="1440" w:header="720" w:footer="720" w:gutter="0"/>
          <w:cols w:space="720"/>
          <w:docGrid w:linePitch="360"/>
        </w:sectPr>
      </w:pPr>
      <w:r>
        <w:t xml:space="preserve">IELCE grantees are </w:t>
      </w:r>
      <w:r>
        <w:rPr>
          <w:i/>
          <w:iCs/>
        </w:rPr>
        <w:t>not</w:t>
      </w:r>
      <w:r>
        <w:t xml:space="preserve"> required to provide corrections education services. </w:t>
      </w:r>
      <w:r w:rsidR="003B1915">
        <w:t xml:space="preserve">These services are a focus of TDLWD’s ABE grantees. </w:t>
      </w:r>
      <w:proofErr w:type="gramStart"/>
      <w:r w:rsidR="001868CA">
        <w:t>In the event that</w:t>
      </w:r>
      <w:proofErr w:type="gramEnd"/>
      <w:r w:rsidR="001868CA">
        <w:t xml:space="preserve"> there is interest and need for an IELCE grantee </w:t>
      </w:r>
      <w:r w:rsidR="009F7AE1">
        <w:t xml:space="preserve">to offer </w:t>
      </w:r>
      <w:r w:rsidR="00783320">
        <w:t>corrections education service</w:t>
      </w:r>
      <w:bookmarkStart w:id="39" w:name="_Toc30575340"/>
      <w:r w:rsidR="0048381E">
        <w:t>s, TDLWD will provide necessary guidance.</w:t>
      </w:r>
    </w:p>
    <w:p w14:paraId="401930C7" w14:textId="6BC16BF7" w:rsidR="006A7978" w:rsidRPr="00EE7081" w:rsidRDefault="00F21111" w:rsidP="00EA0734">
      <w:pPr>
        <w:pStyle w:val="Heading1"/>
        <w:keepNext w:val="0"/>
        <w:keepLines/>
        <w:rPr>
          <w:rFonts w:ascii="Open Sans" w:hAnsi="Open Sans"/>
        </w:rPr>
      </w:pPr>
      <w:bookmarkStart w:id="40" w:name="_Toc128579624"/>
      <w:r w:rsidRPr="00EE7081">
        <w:rPr>
          <w:rFonts w:ascii="Open Sans" w:hAnsi="Open Sans"/>
        </w:rPr>
        <w:lastRenderedPageBreak/>
        <w:t xml:space="preserve">SECTION </w:t>
      </w:r>
      <w:r w:rsidR="00EB765A">
        <w:rPr>
          <w:rFonts w:ascii="Open Sans" w:hAnsi="Open Sans"/>
        </w:rPr>
        <w:t>8</w:t>
      </w:r>
      <w:r w:rsidR="00AC476D" w:rsidRPr="00EE7081">
        <w:rPr>
          <w:rFonts w:ascii="Open Sans" w:hAnsi="Open Sans"/>
        </w:rPr>
        <w:t xml:space="preserve"> – </w:t>
      </w:r>
      <w:r w:rsidR="003F5651" w:rsidRPr="00EE7081">
        <w:rPr>
          <w:rFonts w:ascii="Open Sans" w:hAnsi="Open Sans"/>
        </w:rPr>
        <w:t>Grant Application Guide</w:t>
      </w:r>
      <w:bookmarkEnd w:id="39"/>
      <w:bookmarkEnd w:id="40"/>
    </w:p>
    <w:p w14:paraId="484B0267" w14:textId="77777777" w:rsidR="006A7978" w:rsidRPr="00EE7081" w:rsidRDefault="006A7978" w:rsidP="00EA0734">
      <w:pPr>
        <w:keepLines/>
      </w:pPr>
    </w:p>
    <w:p w14:paraId="1806AE30" w14:textId="0C1D2677" w:rsidR="003139DD" w:rsidRPr="00EE7081" w:rsidRDefault="00E02DAE" w:rsidP="00F71E24">
      <w:pPr>
        <w:pStyle w:val="Heading2"/>
      </w:pPr>
      <w:bookmarkStart w:id="41" w:name="_Hlk54185578"/>
      <w:bookmarkStart w:id="42" w:name="_Toc30575335"/>
      <w:bookmarkStart w:id="43" w:name="_Toc128579625"/>
      <w:r w:rsidRPr="00EE7081">
        <w:t>Considerations</w:t>
      </w:r>
      <w:r w:rsidR="003139DD" w:rsidRPr="00EE7081">
        <w:t xml:space="preserve"> </w:t>
      </w:r>
      <w:r w:rsidRPr="00EE7081">
        <w:t>in</w:t>
      </w:r>
      <w:r w:rsidR="003139DD" w:rsidRPr="00EE7081">
        <w:t xml:space="preserve"> Awarding Grants</w:t>
      </w:r>
      <w:bookmarkEnd w:id="41"/>
      <w:bookmarkEnd w:id="42"/>
      <w:r w:rsidR="003A10A3" w:rsidRPr="003A10A3">
        <w:rPr>
          <w:rStyle w:val="FootnoteReference"/>
          <w:b w:val="0"/>
          <w:bCs/>
          <w:sz w:val="22"/>
          <w:szCs w:val="18"/>
        </w:rPr>
        <w:footnoteReference w:id="37"/>
      </w:r>
      <w:bookmarkEnd w:id="43"/>
    </w:p>
    <w:p w14:paraId="53552268" w14:textId="77777777" w:rsidR="003139DD" w:rsidRPr="00EE7081" w:rsidRDefault="003139DD" w:rsidP="00EA0734">
      <w:pPr>
        <w:keepLines/>
      </w:pPr>
    </w:p>
    <w:p w14:paraId="0415C7C0" w14:textId="115E48A4" w:rsidR="003139DD" w:rsidRPr="00EE7081" w:rsidRDefault="00E02DAE" w:rsidP="00EA0734">
      <w:pPr>
        <w:pStyle w:val="Default"/>
        <w:keepLines/>
        <w:widowControl/>
        <w:spacing w:after="120"/>
        <w:rPr>
          <w:rFonts w:ascii="Open Sans" w:hAnsi="Open Sans" w:cs="Open Sans"/>
          <w:sz w:val="22"/>
        </w:rPr>
      </w:pPr>
      <w:r w:rsidRPr="00EE7081">
        <w:rPr>
          <w:rFonts w:ascii="Open Sans" w:hAnsi="Open Sans" w:cs="Open Sans"/>
          <w:sz w:val="22"/>
        </w:rPr>
        <w:t>In</w:t>
      </w:r>
      <w:r w:rsidR="003139DD" w:rsidRPr="00EE7081">
        <w:rPr>
          <w:rFonts w:ascii="Open Sans" w:hAnsi="Open Sans" w:cs="Open Sans"/>
          <w:sz w:val="22"/>
        </w:rPr>
        <w:t xml:space="preserve"> awarding </w:t>
      </w:r>
      <w:r w:rsidRPr="00EE7081">
        <w:rPr>
          <w:rFonts w:ascii="Open Sans" w:hAnsi="Open Sans" w:cs="Open Sans"/>
          <w:sz w:val="22"/>
        </w:rPr>
        <w:t>A</w:t>
      </w:r>
      <w:r w:rsidR="003139DD" w:rsidRPr="00EE7081">
        <w:rPr>
          <w:rFonts w:ascii="Open Sans" w:hAnsi="Open Sans" w:cs="Open Sans"/>
          <w:sz w:val="22"/>
        </w:rPr>
        <w:t xml:space="preserve">dult </w:t>
      </w:r>
      <w:r w:rsidRPr="00EE7081">
        <w:rPr>
          <w:rFonts w:ascii="Open Sans" w:hAnsi="Open Sans" w:cs="Open Sans"/>
          <w:sz w:val="22"/>
        </w:rPr>
        <w:t>E</w:t>
      </w:r>
      <w:r w:rsidR="003139DD" w:rsidRPr="00EE7081">
        <w:rPr>
          <w:rFonts w:ascii="Open Sans" w:hAnsi="Open Sans" w:cs="Open Sans"/>
          <w:sz w:val="22"/>
        </w:rPr>
        <w:t xml:space="preserve">ducation grants, </w:t>
      </w:r>
      <w:r w:rsidR="00B40F80">
        <w:rPr>
          <w:rFonts w:ascii="Open Sans" w:hAnsi="Open Sans" w:cs="Open Sans"/>
          <w:sz w:val="22"/>
        </w:rPr>
        <w:t>TDLWD</w:t>
      </w:r>
      <w:r w:rsidR="003139DD" w:rsidRPr="00EE7081">
        <w:rPr>
          <w:rFonts w:ascii="Open Sans" w:hAnsi="Open Sans" w:cs="Open Sans"/>
          <w:sz w:val="22"/>
        </w:rPr>
        <w:t xml:space="preserve"> </w:t>
      </w:r>
      <w:r w:rsidR="003F5651" w:rsidRPr="00EE7081">
        <w:rPr>
          <w:rFonts w:ascii="Open Sans" w:hAnsi="Open Sans" w:cs="Open Sans"/>
          <w:sz w:val="22"/>
        </w:rPr>
        <w:t>will</w:t>
      </w:r>
      <w:r w:rsidR="003139DD" w:rsidRPr="00EE7081">
        <w:rPr>
          <w:rFonts w:ascii="Open Sans" w:hAnsi="Open Sans" w:cs="Open Sans"/>
          <w:sz w:val="22"/>
        </w:rPr>
        <w:t xml:space="preserve"> </w:t>
      </w:r>
      <w:proofErr w:type="gramStart"/>
      <w:r w:rsidR="003139DD" w:rsidRPr="00EE7081">
        <w:rPr>
          <w:rFonts w:ascii="Open Sans" w:hAnsi="Open Sans" w:cs="Open Sans"/>
          <w:sz w:val="22"/>
        </w:rPr>
        <w:t>take into account</w:t>
      </w:r>
      <w:proofErr w:type="gramEnd"/>
      <w:r w:rsidR="003139DD" w:rsidRPr="00EE7081">
        <w:rPr>
          <w:rFonts w:ascii="Open Sans" w:hAnsi="Open Sans" w:cs="Open Sans"/>
          <w:sz w:val="22"/>
        </w:rPr>
        <w:t xml:space="preserve"> the following 13 considerations: </w:t>
      </w:r>
    </w:p>
    <w:p w14:paraId="529CCDAA" w14:textId="77777777" w:rsidR="003139DD" w:rsidRPr="00EE7081" w:rsidRDefault="003139DD" w:rsidP="00EA0734">
      <w:pPr>
        <w:pStyle w:val="Default"/>
        <w:keepLines/>
        <w:widowControl/>
        <w:spacing w:after="120"/>
        <w:ind w:left="720"/>
        <w:rPr>
          <w:rFonts w:ascii="Open Sans" w:hAnsi="Open Sans" w:cs="Open Sans"/>
          <w:sz w:val="22"/>
        </w:rPr>
      </w:pPr>
      <w:r w:rsidRPr="00EE7081">
        <w:rPr>
          <w:rFonts w:ascii="Open Sans" w:hAnsi="Open Sans" w:cs="Open Sans"/>
          <w:sz w:val="22"/>
        </w:rPr>
        <w:t xml:space="preserve">(1) the degree to which the eligible provider would be responsive to— </w:t>
      </w:r>
    </w:p>
    <w:p w14:paraId="648AE672" w14:textId="3C6C5FC0" w:rsidR="003139DD" w:rsidRPr="00EE7081" w:rsidRDefault="003139DD" w:rsidP="00EA0734">
      <w:pPr>
        <w:pStyle w:val="Default"/>
        <w:keepLines/>
        <w:widowControl/>
        <w:spacing w:after="120"/>
        <w:ind w:left="720" w:firstLine="360"/>
        <w:rPr>
          <w:rFonts w:ascii="Open Sans" w:hAnsi="Open Sans" w:cs="Open Sans"/>
          <w:sz w:val="22"/>
        </w:rPr>
      </w:pPr>
      <w:r w:rsidRPr="00EE7081">
        <w:rPr>
          <w:rFonts w:ascii="Open Sans" w:hAnsi="Open Sans" w:cs="Open Sans"/>
          <w:sz w:val="22"/>
        </w:rPr>
        <w:t xml:space="preserve">(A) regional needs as identified in the local plan under </w:t>
      </w:r>
      <w:r w:rsidR="00927B30">
        <w:rPr>
          <w:rFonts w:ascii="Open Sans" w:hAnsi="Open Sans" w:cs="Open Sans"/>
          <w:sz w:val="22"/>
        </w:rPr>
        <w:t xml:space="preserve">[WIOA] </w:t>
      </w:r>
      <w:r w:rsidRPr="00EE7081">
        <w:rPr>
          <w:rFonts w:ascii="Open Sans" w:hAnsi="Open Sans" w:cs="Open Sans"/>
          <w:sz w:val="22"/>
        </w:rPr>
        <w:t xml:space="preserve">section 108; and </w:t>
      </w:r>
    </w:p>
    <w:p w14:paraId="3FB78EA3" w14:textId="77777777" w:rsidR="003139DD" w:rsidRPr="00EE7081" w:rsidRDefault="003139DD" w:rsidP="00EA0734">
      <w:pPr>
        <w:pStyle w:val="Default"/>
        <w:keepLines/>
        <w:widowControl/>
        <w:spacing w:after="120"/>
        <w:ind w:left="1440" w:hanging="360"/>
        <w:rPr>
          <w:rFonts w:ascii="Open Sans" w:hAnsi="Open Sans" w:cs="Open Sans"/>
          <w:sz w:val="22"/>
        </w:rPr>
      </w:pPr>
      <w:r w:rsidRPr="00EE7081">
        <w:rPr>
          <w:rFonts w:ascii="Open Sans" w:hAnsi="Open Sans" w:cs="Open Sans"/>
          <w:sz w:val="22"/>
        </w:rPr>
        <w:t xml:space="preserve">(B) serving individuals in the community who were identified in such plan as most in need of adult education and literacy activities, including individuals— </w:t>
      </w:r>
    </w:p>
    <w:p w14:paraId="7FE7DA47" w14:textId="77777777" w:rsidR="003139DD" w:rsidRPr="00EE7081" w:rsidRDefault="003139DD" w:rsidP="00EA0734">
      <w:pPr>
        <w:pStyle w:val="Default"/>
        <w:keepLines/>
        <w:widowControl/>
        <w:spacing w:after="120"/>
        <w:ind w:left="1440" w:firstLine="720"/>
        <w:rPr>
          <w:rFonts w:ascii="Open Sans" w:hAnsi="Open Sans" w:cs="Open Sans"/>
          <w:sz w:val="22"/>
        </w:rPr>
      </w:pPr>
      <w:r w:rsidRPr="00EE7081">
        <w:rPr>
          <w:rFonts w:ascii="Open Sans" w:hAnsi="Open Sans" w:cs="Open Sans"/>
          <w:sz w:val="22"/>
        </w:rPr>
        <w:t>(</w:t>
      </w:r>
      <w:proofErr w:type="spellStart"/>
      <w:r w:rsidRPr="00EE7081">
        <w:rPr>
          <w:rFonts w:ascii="Open Sans" w:hAnsi="Open Sans" w:cs="Open Sans"/>
          <w:sz w:val="22"/>
        </w:rPr>
        <w:t>i</w:t>
      </w:r>
      <w:proofErr w:type="spellEnd"/>
      <w:r w:rsidRPr="00EE7081">
        <w:rPr>
          <w:rFonts w:ascii="Open Sans" w:hAnsi="Open Sans" w:cs="Open Sans"/>
          <w:sz w:val="22"/>
        </w:rPr>
        <w:t xml:space="preserve">) who have low levels of literacy skills; or </w:t>
      </w:r>
    </w:p>
    <w:p w14:paraId="7CADD88A" w14:textId="77777777" w:rsidR="003139DD" w:rsidRPr="00EE7081" w:rsidRDefault="003139DD" w:rsidP="00EA0734">
      <w:pPr>
        <w:pStyle w:val="Default"/>
        <w:keepLines/>
        <w:widowControl/>
        <w:spacing w:after="120"/>
        <w:ind w:left="1440" w:firstLine="720"/>
        <w:rPr>
          <w:rFonts w:ascii="Open Sans" w:hAnsi="Open Sans" w:cs="Open Sans"/>
          <w:sz w:val="22"/>
        </w:rPr>
      </w:pPr>
      <w:r w:rsidRPr="00EE7081">
        <w:rPr>
          <w:rFonts w:ascii="Open Sans" w:hAnsi="Open Sans" w:cs="Open Sans"/>
          <w:sz w:val="22"/>
        </w:rPr>
        <w:t xml:space="preserve">(ii) who are English language learners; </w:t>
      </w:r>
    </w:p>
    <w:p w14:paraId="345924FD" w14:textId="77777777" w:rsidR="003139DD" w:rsidRPr="00EE7081" w:rsidRDefault="003139DD" w:rsidP="00EA0734">
      <w:pPr>
        <w:pStyle w:val="Default"/>
        <w:keepLines/>
        <w:widowControl/>
        <w:spacing w:after="120"/>
        <w:ind w:left="1080" w:hanging="360"/>
        <w:rPr>
          <w:rFonts w:ascii="Open Sans" w:hAnsi="Open Sans" w:cs="Open Sans"/>
          <w:sz w:val="22"/>
        </w:rPr>
      </w:pPr>
      <w:r w:rsidRPr="00EE7081">
        <w:rPr>
          <w:rFonts w:ascii="Open Sans" w:hAnsi="Open Sans" w:cs="Open Sans"/>
          <w:sz w:val="22"/>
        </w:rPr>
        <w:t xml:space="preserve">(2) the ability of the eligible provider to serve eligible individuals with disabilities, including eligible individuals with learning disabilities; </w:t>
      </w:r>
    </w:p>
    <w:p w14:paraId="5AECC551" w14:textId="550B5033" w:rsidR="003139DD" w:rsidRPr="00EE7081" w:rsidRDefault="003139DD" w:rsidP="00EA0734">
      <w:pPr>
        <w:pStyle w:val="Default"/>
        <w:keepLines/>
        <w:widowControl/>
        <w:spacing w:after="120"/>
        <w:ind w:left="1080" w:hanging="360"/>
        <w:rPr>
          <w:rFonts w:ascii="Open Sans" w:hAnsi="Open Sans" w:cs="Open Sans"/>
          <w:sz w:val="22"/>
        </w:rPr>
      </w:pPr>
      <w:r w:rsidRPr="00EE7081">
        <w:rPr>
          <w:rFonts w:ascii="Open Sans" w:hAnsi="Open Sans" w:cs="Open Sans"/>
          <w:sz w:val="22"/>
        </w:rPr>
        <w:t xml:space="preserve">(3) past effectiveness of the eligible provider in improving the literacy of eligible individuals, to meet State-adjusted levels of performance for the primary indicators of performance described in WIOA, especially with respect to eligible individuals who have low levels of literacy; </w:t>
      </w:r>
    </w:p>
    <w:p w14:paraId="485A923C" w14:textId="6829C824" w:rsidR="003139DD" w:rsidRPr="00EE7081" w:rsidRDefault="003139DD" w:rsidP="00EA0734">
      <w:pPr>
        <w:pStyle w:val="Default"/>
        <w:keepLines/>
        <w:widowControl/>
        <w:spacing w:after="120"/>
        <w:ind w:left="1080" w:hanging="360"/>
        <w:rPr>
          <w:rFonts w:ascii="Open Sans" w:hAnsi="Open Sans" w:cs="Open Sans"/>
          <w:sz w:val="22"/>
        </w:rPr>
      </w:pPr>
      <w:r w:rsidRPr="00EE7081">
        <w:rPr>
          <w:rFonts w:ascii="Open Sans" w:hAnsi="Open Sans" w:cs="Open Sans"/>
          <w:sz w:val="22"/>
        </w:rPr>
        <w:t xml:space="preserve">(4) the extent to which the eligible provider demonstrates alignment between proposed activities and services and the strategy and goals of the local plan under </w:t>
      </w:r>
      <w:r w:rsidR="00927B30">
        <w:rPr>
          <w:rFonts w:ascii="Open Sans" w:hAnsi="Open Sans" w:cs="Open Sans"/>
          <w:sz w:val="22"/>
        </w:rPr>
        <w:t xml:space="preserve">[WIOA] </w:t>
      </w:r>
      <w:r w:rsidRPr="00EE7081">
        <w:rPr>
          <w:rFonts w:ascii="Open Sans" w:hAnsi="Open Sans" w:cs="Open Sans"/>
          <w:sz w:val="22"/>
        </w:rPr>
        <w:t xml:space="preserve">section 108, as well as the activities and services of the one-stop partners; </w:t>
      </w:r>
    </w:p>
    <w:p w14:paraId="55A8F185" w14:textId="77777777" w:rsidR="003139DD" w:rsidRPr="00EE7081" w:rsidRDefault="003139DD" w:rsidP="00EA0734">
      <w:pPr>
        <w:pStyle w:val="Default"/>
        <w:keepLines/>
        <w:widowControl/>
        <w:spacing w:after="120"/>
        <w:ind w:left="720"/>
        <w:rPr>
          <w:rFonts w:ascii="Open Sans" w:hAnsi="Open Sans" w:cs="Open Sans"/>
          <w:sz w:val="22"/>
        </w:rPr>
      </w:pPr>
      <w:r w:rsidRPr="00EE7081">
        <w:rPr>
          <w:rFonts w:ascii="Open Sans" w:hAnsi="Open Sans" w:cs="Open Sans"/>
          <w:sz w:val="22"/>
        </w:rPr>
        <w:t xml:space="preserve">(5) whether the eligible provider’s program— </w:t>
      </w:r>
    </w:p>
    <w:p w14:paraId="4D466078" w14:textId="77777777" w:rsidR="003139DD" w:rsidRPr="00EE7081" w:rsidRDefault="003139DD" w:rsidP="00EA0734">
      <w:pPr>
        <w:pStyle w:val="Default"/>
        <w:keepLines/>
        <w:widowControl/>
        <w:spacing w:after="120"/>
        <w:ind w:left="1800" w:hanging="360"/>
        <w:rPr>
          <w:rFonts w:ascii="Open Sans" w:hAnsi="Open Sans" w:cs="Open Sans"/>
          <w:sz w:val="22"/>
        </w:rPr>
      </w:pPr>
      <w:r w:rsidRPr="00EE7081">
        <w:rPr>
          <w:rFonts w:ascii="Open Sans" w:hAnsi="Open Sans" w:cs="Open Sans"/>
          <w:sz w:val="22"/>
        </w:rPr>
        <w:t xml:space="preserve">(A) is of sufficient intensity and quality, and based on the most rigorous research available so that participants achieve substantial learning gains; and </w:t>
      </w:r>
    </w:p>
    <w:p w14:paraId="1FEFBDAD" w14:textId="77777777" w:rsidR="003139DD" w:rsidRPr="00EE7081" w:rsidRDefault="003139DD" w:rsidP="00EA0734">
      <w:pPr>
        <w:pStyle w:val="Default"/>
        <w:keepLines/>
        <w:widowControl/>
        <w:spacing w:after="120"/>
        <w:ind w:left="1800" w:hanging="360"/>
        <w:rPr>
          <w:rFonts w:ascii="Open Sans" w:hAnsi="Open Sans" w:cs="Open Sans"/>
          <w:sz w:val="22"/>
        </w:rPr>
      </w:pPr>
      <w:r w:rsidRPr="00EE7081">
        <w:rPr>
          <w:rFonts w:ascii="Open Sans" w:hAnsi="Open Sans" w:cs="Open Sans"/>
          <w:sz w:val="22"/>
        </w:rPr>
        <w:t xml:space="preserve">(B) uses instructional practices that include the essential components of reading instruction; </w:t>
      </w:r>
    </w:p>
    <w:p w14:paraId="4B4C66C5" w14:textId="77777777" w:rsidR="003139DD" w:rsidRPr="00EE7081" w:rsidRDefault="003139DD" w:rsidP="00EA0734">
      <w:pPr>
        <w:pStyle w:val="Default"/>
        <w:keepLines/>
        <w:widowControl/>
        <w:spacing w:after="120"/>
        <w:ind w:left="1080" w:hanging="360"/>
        <w:rPr>
          <w:rFonts w:ascii="Open Sans" w:hAnsi="Open Sans" w:cs="Open Sans"/>
          <w:sz w:val="22"/>
        </w:rPr>
      </w:pPr>
      <w:r w:rsidRPr="00EE7081">
        <w:rPr>
          <w:rFonts w:ascii="Open Sans" w:hAnsi="Open Sans" w:cs="Open Sans"/>
          <w:sz w:val="22"/>
        </w:rPr>
        <w:t>(6) whether the eligible provider’s activities, including whether reading, writing, speaking, mathematics, and English language acquisition instruction delivered by the eligible pro</w:t>
      </w:r>
      <w:r w:rsidRPr="00EE7081">
        <w:rPr>
          <w:rFonts w:ascii="Open Sans" w:hAnsi="Open Sans" w:cs="Open Sans"/>
          <w:sz w:val="22"/>
        </w:rPr>
        <w:softHyphen/>
        <w:t>vider, are based on the best practices derived from the most rigorous research available and appropriate, including scientif</w:t>
      </w:r>
      <w:r w:rsidRPr="00EE7081">
        <w:rPr>
          <w:rFonts w:ascii="Open Sans" w:hAnsi="Open Sans" w:cs="Open Sans"/>
          <w:sz w:val="22"/>
        </w:rPr>
        <w:softHyphen/>
        <w:t xml:space="preserve">ically valid research and effective educational practice; </w:t>
      </w:r>
    </w:p>
    <w:p w14:paraId="4D0F7400" w14:textId="77777777" w:rsidR="003139DD" w:rsidRPr="00EE7081" w:rsidRDefault="003139DD" w:rsidP="00EA0734">
      <w:pPr>
        <w:pStyle w:val="Default"/>
        <w:keepLines/>
        <w:widowControl/>
        <w:spacing w:after="120"/>
        <w:ind w:left="1080" w:hanging="360"/>
        <w:rPr>
          <w:rFonts w:ascii="Open Sans" w:hAnsi="Open Sans" w:cs="Open Sans"/>
          <w:sz w:val="22"/>
        </w:rPr>
      </w:pPr>
      <w:r w:rsidRPr="00EE7081">
        <w:rPr>
          <w:rFonts w:ascii="Open Sans" w:hAnsi="Open Sans" w:cs="Open Sans"/>
          <w:sz w:val="22"/>
        </w:rPr>
        <w:lastRenderedPageBreak/>
        <w:t xml:space="preserve">(7) whether the eligible provider’s activities effectively use technology, services, and delivery systems, including distance education in a manner sufficient to increase the amount and quality of learning and how such technology, services, and systems lead to improved performance; </w:t>
      </w:r>
    </w:p>
    <w:p w14:paraId="64E1F512" w14:textId="77777777" w:rsidR="003139DD" w:rsidRPr="00EE7081" w:rsidRDefault="003139DD" w:rsidP="00EA0734">
      <w:pPr>
        <w:pStyle w:val="Default"/>
        <w:keepLines/>
        <w:widowControl/>
        <w:spacing w:after="120"/>
        <w:ind w:left="1080" w:hanging="360"/>
        <w:rPr>
          <w:rFonts w:ascii="Open Sans" w:hAnsi="Open Sans" w:cs="Open Sans"/>
          <w:sz w:val="22"/>
        </w:rPr>
      </w:pPr>
      <w:r w:rsidRPr="00EE7081">
        <w:rPr>
          <w:rFonts w:ascii="Open Sans" w:hAnsi="Open Sans" w:cs="Open Sans"/>
          <w:sz w:val="22"/>
        </w:rPr>
        <w:t xml:space="preserve">(8) whether the eligible provider’s activities provide learning in context, including through integrated education and training, so that an individual acquires the skills needed to transition to and complete postsecondary education and training programs, obtain and advance in employment leading to economic self-sufficiency, and to exercise the rights and responsibilities of citizenship; </w:t>
      </w:r>
    </w:p>
    <w:p w14:paraId="4B83A1E8" w14:textId="77777777" w:rsidR="003139DD" w:rsidRPr="00EE7081" w:rsidRDefault="003139DD" w:rsidP="00EA0734">
      <w:pPr>
        <w:pStyle w:val="Default"/>
        <w:keepLines/>
        <w:widowControl/>
        <w:spacing w:after="120"/>
        <w:ind w:left="1080" w:hanging="360"/>
        <w:rPr>
          <w:rFonts w:ascii="Open Sans" w:hAnsi="Open Sans" w:cs="Open Sans"/>
          <w:sz w:val="22"/>
        </w:rPr>
      </w:pPr>
      <w:r w:rsidRPr="00EE7081">
        <w:rPr>
          <w:rFonts w:ascii="Open Sans" w:hAnsi="Open Sans" w:cs="Open Sans"/>
          <w:sz w:val="22"/>
        </w:rPr>
        <w:t xml:space="preserve">(9) whether the eligible provider’s activities are delivered by well-trained instructors, counselors, and administrators who meet any minimum qualifications established by the State, where applicable, and who have access to high quality professional development, including through electronic means; </w:t>
      </w:r>
    </w:p>
    <w:p w14:paraId="13E7307A" w14:textId="77777777" w:rsidR="003139DD" w:rsidRPr="00EE7081" w:rsidRDefault="003139DD" w:rsidP="00EA0734">
      <w:pPr>
        <w:pStyle w:val="Default"/>
        <w:keepLines/>
        <w:widowControl/>
        <w:spacing w:after="120"/>
        <w:ind w:left="1170" w:hanging="450"/>
        <w:rPr>
          <w:rFonts w:ascii="Open Sans" w:hAnsi="Open Sans" w:cs="Open Sans"/>
          <w:sz w:val="22"/>
        </w:rPr>
      </w:pPr>
      <w:r w:rsidRPr="00EE7081">
        <w:rPr>
          <w:rFonts w:ascii="Open Sans" w:hAnsi="Open Sans" w:cs="Open Sans"/>
          <w:sz w:val="22"/>
        </w:rPr>
        <w:t>(10) whether the eligible provider’s activities coordinate with other available education, training, and social service resources in the community, such as by establishing strong links with elementary schools and secondary schools, postsecondary educational institutions, institutions of higher education, local workforce development boards, one-stop centers, job training programs, and social service agencies, business, industry, labor organizations, community-based organizations, nonprofit organizations, and intermediaries, for the develop</w:t>
      </w:r>
      <w:r w:rsidRPr="00EE7081">
        <w:rPr>
          <w:rFonts w:ascii="Open Sans" w:hAnsi="Open Sans" w:cs="Open Sans"/>
          <w:sz w:val="22"/>
        </w:rPr>
        <w:softHyphen/>
        <w:t xml:space="preserve">ment of career pathways; </w:t>
      </w:r>
    </w:p>
    <w:p w14:paraId="273B8114" w14:textId="19CD34B5" w:rsidR="003139DD" w:rsidRPr="00EE7081" w:rsidRDefault="003139DD" w:rsidP="00EA0734">
      <w:pPr>
        <w:pStyle w:val="Default"/>
        <w:keepLines/>
        <w:widowControl/>
        <w:spacing w:after="120"/>
        <w:ind w:left="1166" w:hanging="446"/>
        <w:rPr>
          <w:rFonts w:ascii="Open Sans" w:hAnsi="Open Sans" w:cs="Open Sans"/>
          <w:sz w:val="22"/>
        </w:rPr>
      </w:pPr>
      <w:r w:rsidRPr="00EE7081">
        <w:rPr>
          <w:rFonts w:ascii="Open Sans" w:hAnsi="Open Sans" w:cs="Open Sans"/>
          <w:sz w:val="22"/>
        </w:rPr>
        <w:t xml:space="preserve">(11) whether the eligible provider’s activities offer flexible schedules and coordination with Federal, State, and local support services (such as </w:t>
      </w:r>
      <w:r w:rsidR="003A455A" w:rsidRPr="00EE7081">
        <w:rPr>
          <w:rFonts w:ascii="Open Sans" w:hAnsi="Open Sans" w:cs="Open Sans"/>
          <w:sz w:val="22"/>
        </w:rPr>
        <w:t>childcare</w:t>
      </w:r>
      <w:r w:rsidRPr="00EE7081">
        <w:rPr>
          <w:rFonts w:ascii="Open Sans" w:hAnsi="Open Sans" w:cs="Open Sans"/>
          <w:sz w:val="22"/>
        </w:rPr>
        <w:t>, transportation, mental health services, and career planning) that are necessary to enable individuals, including individuals with disabilities or other special needs, to attend and complete programs</w:t>
      </w:r>
      <w:r w:rsidR="00FB1746" w:rsidRPr="00EE7081">
        <w:rPr>
          <w:rFonts w:ascii="Open Sans" w:hAnsi="Open Sans" w:cs="Open Sans"/>
          <w:sz w:val="22"/>
        </w:rPr>
        <w:t>;</w:t>
      </w:r>
    </w:p>
    <w:p w14:paraId="30D39E0E" w14:textId="5D480961" w:rsidR="003139DD" w:rsidRPr="00EE7081" w:rsidRDefault="003139DD" w:rsidP="00EA0734">
      <w:pPr>
        <w:pStyle w:val="Default"/>
        <w:keepLines/>
        <w:widowControl/>
        <w:spacing w:after="120"/>
        <w:ind w:left="1166" w:hanging="446"/>
        <w:rPr>
          <w:rFonts w:ascii="Open Sans" w:hAnsi="Open Sans" w:cs="Open Sans"/>
          <w:sz w:val="22"/>
        </w:rPr>
      </w:pPr>
      <w:r w:rsidRPr="00EE7081">
        <w:rPr>
          <w:rFonts w:ascii="Open Sans" w:hAnsi="Open Sans" w:cs="Open Sans"/>
          <w:sz w:val="22"/>
        </w:rPr>
        <w:t>(12) whether the eligible provider maintains a high-quality information management system that has the capacity to report measurable participant outcomes (consistent with WIOA Title II section 116) and to monitor program performance;</w:t>
      </w:r>
      <w:r w:rsidR="00FB1746" w:rsidRPr="00EE7081">
        <w:rPr>
          <w:rStyle w:val="FootnoteReference"/>
          <w:rFonts w:ascii="Open Sans" w:hAnsi="Open Sans" w:cs="Open Sans"/>
          <w:sz w:val="22"/>
        </w:rPr>
        <w:footnoteReference w:id="38"/>
      </w:r>
      <w:r w:rsidR="001D658A">
        <w:rPr>
          <w:rFonts w:ascii="Open Sans" w:hAnsi="Open Sans" w:cs="Open Sans"/>
          <w:sz w:val="22"/>
        </w:rPr>
        <w:t xml:space="preserve"> and</w:t>
      </w:r>
    </w:p>
    <w:p w14:paraId="185AB02C" w14:textId="72A9EC15" w:rsidR="003139DD" w:rsidRDefault="003139DD" w:rsidP="00EA0734">
      <w:pPr>
        <w:pStyle w:val="Default"/>
        <w:keepLines/>
        <w:widowControl/>
        <w:ind w:left="1166" w:hanging="446"/>
        <w:rPr>
          <w:rFonts w:ascii="Open Sans" w:hAnsi="Open Sans" w:cs="Open Sans"/>
          <w:sz w:val="22"/>
        </w:rPr>
      </w:pPr>
      <w:r w:rsidRPr="00EE7081">
        <w:rPr>
          <w:rFonts w:ascii="Open Sans" w:hAnsi="Open Sans" w:cs="Open Sans"/>
          <w:sz w:val="22"/>
        </w:rPr>
        <w:t xml:space="preserve">(13) whether the local areas in which the eligible provider is located have a demonstrated need for additional English language acquisition programs and civics education programs. </w:t>
      </w:r>
    </w:p>
    <w:p w14:paraId="7BD2E5CD" w14:textId="77777777" w:rsidR="00CB6253" w:rsidRPr="00EE7081" w:rsidRDefault="00CB6253" w:rsidP="00EA0734">
      <w:pPr>
        <w:pStyle w:val="Default"/>
        <w:keepLines/>
        <w:widowControl/>
        <w:ind w:left="1166" w:hanging="446"/>
        <w:rPr>
          <w:rFonts w:ascii="Open Sans" w:hAnsi="Open Sans" w:cs="Open Sans"/>
          <w:sz w:val="22"/>
        </w:rPr>
      </w:pPr>
    </w:p>
    <w:p w14:paraId="10CB7C25" w14:textId="77777777" w:rsidR="00EA0734" w:rsidRDefault="00EA0734">
      <w:pPr>
        <w:rPr>
          <w:rFonts w:eastAsiaTheme="majorEastAsia"/>
          <w:b/>
          <w:caps/>
          <w:spacing w:val="5"/>
          <w:sz w:val="28"/>
        </w:rPr>
      </w:pPr>
      <w:r>
        <w:br w:type="page"/>
      </w:r>
    </w:p>
    <w:p w14:paraId="6A25510A" w14:textId="124C364A" w:rsidR="003139DD" w:rsidRPr="00EE7081" w:rsidRDefault="00793C0D" w:rsidP="00F71E24">
      <w:pPr>
        <w:pStyle w:val="Heading2"/>
      </w:pPr>
      <w:bookmarkStart w:id="44" w:name="_Toc128579626"/>
      <w:r>
        <w:lastRenderedPageBreak/>
        <w:t>Required</w:t>
      </w:r>
      <w:r w:rsidR="003139DD" w:rsidRPr="00EE7081">
        <w:t xml:space="preserve"> </w:t>
      </w:r>
      <w:r>
        <w:t>Application</w:t>
      </w:r>
      <w:r w:rsidR="00CD43E0" w:rsidRPr="00EE7081">
        <w:t xml:space="preserve"> </w:t>
      </w:r>
      <w:r>
        <w:t>Information</w:t>
      </w:r>
      <w:r w:rsidR="003139DD" w:rsidRPr="00EE7081">
        <w:rPr>
          <w:rStyle w:val="FootnoteReference"/>
          <w:b w:val="0"/>
          <w:bCs/>
          <w:sz w:val="22"/>
        </w:rPr>
        <w:footnoteReference w:id="39"/>
      </w:r>
      <w:bookmarkEnd w:id="44"/>
    </w:p>
    <w:p w14:paraId="34A2CA4B" w14:textId="77777777" w:rsidR="003139DD" w:rsidRPr="00EE7081" w:rsidRDefault="003139DD" w:rsidP="00EA0734">
      <w:pPr>
        <w:keepLines/>
        <w:rPr>
          <w:rFonts w:eastAsiaTheme="majorEastAsia"/>
        </w:rPr>
      </w:pPr>
    </w:p>
    <w:p w14:paraId="64377B08" w14:textId="0B04629D" w:rsidR="003139DD" w:rsidRPr="00EE7081" w:rsidRDefault="003139DD" w:rsidP="00EA0734">
      <w:pPr>
        <w:pStyle w:val="Default"/>
        <w:keepLines/>
        <w:widowControl/>
        <w:spacing w:after="120"/>
        <w:rPr>
          <w:rFonts w:ascii="Open Sans" w:hAnsi="Open Sans" w:cs="Open Sans"/>
          <w:sz w:val="22"/>
        </w:rPr>
      </w:pPr>
      <w:r w:rsidRPr="00EE7081">
        <w:rPr>
          <w:rFonts w:ascii="Open Sans" w:hAnsi="Open Sans" w:cs="Open Sans"/>
          <w:sz w:val="22"/>
        </w:rPr>
        <w:t xml:space="preserve">Each eligible provider seeking a grant or contract must </w:t>
      </w:r>
      <w:proofErr w:type="gramStart"/>
      <w:r w:rsidRPr="00EE7081">
        <w:rPr>
          <w:rFonts w:ascii="Open Sans" w:hAnsi="Open Sans" w:cs="Open Sans"/>
          <w:sz w:val="22"/>
        </w:rPr>
        <w:t>submit an application</w:t>
      </w:r>
      <w:proofErr w:type="gramEnd"/>
      <w:r w:rsidRPr="00EE7081">
        <w:rPr>
          <w:rFonts w:ascii="Open Sans" w:hAnsi="Open Sans" w:cs="Open Sans"/>
          <w:sz w:val="22"/>
        </w:rPr>
        <w:t xml:space="preserve"> to </w:t>
      </w:r>
      <w:r w:rsidR="00B40F80">
        <w:rPr>
          <w:rFonts w:ascii="Open Sans" w:hAnsi="Open Sans" w:cs="Open Sans"/>
          <w:sz w:val="22"/>
        </w:rPr>
        <w:t>TDLWD</w:t>
      </w:r>
      <w:r w:rsidR="003F5651" w:rsidRPr="00EE7081">
        <w:rPr>
          <w:rFonts w:ascii="Open Sans" w:hAnsi="Open Sans" w:cs="Open Sans"/>
          <w:sz w:val="22"/>
        </w:rPr>
        <w:t xml:space="preserve"> </w:t>
      </w:r>
      <w:r w:rsidRPr="00EE7081">
        <w:rPr>
          <w:rFonts w:ascii="Open Sans" w:hAnsi="Open Sans" w:cs="Open Sans"/>
          <w:sz w:val="22"/>
        </w:rPr>
        <w:t xml:space="preserve">containing the information listed below, as well as any additional information required by </w:t>
      </w:r>
      <w:r w:rsidR="00B40F80">
        <w:rPr>
          <w:rFonts w:ascii="Open Sans" w:hAnsi="Open Sans" w:cs="Open Sans"/>
          <w:sz w:val="22"/>
        </w:rPr>
        <w:t>TDLWD</w:t>
      </w:r>
      <w:r w:rsidR="003F5651" w:rsidRPr="00EE7081">
        <w:rPr>
          <w:rFonts w:ascii="Open Sans" w:hAnsi="Open Sans" w:cs="Open Sans"/>
          <w:sz w:val="22"/>
        </w:rPr>
        <w:t xml:space="preserve"> as described in this grant application guide, </w:t>
      </w:r>
      <w:r w:rsidRPr="00EE7081">
        <w:rPr>
          <w:rFonts w:ascii="Open Sans" w:hAnsi="Open Sans" w:cs="Open Sans"/>
          <w:sz w:val="22"/>
        </w:rPr>
        <w:t>including:</w:t>
      </w:r>
    </w:p>
    <w:p w14:paraId="3F77CF4D" w14:textId="168E2331" w:rsidR="003139DD" w:rsidRPr="00EE7081" w:rsidRDefault="003139DD" w:rsidP="00D90CF9">
      <w:pPr>
        <w:pStyle w:val="Default"/>
        <w:keepLines/>
        <w:widowControl/>
        <w:numPr>
          <w:ilvl w:val="0"/>
          <w:numId w:val="24"/>
        </w:numPr>
        <w:spacing w:after="120"/>
        <w:ind w:left="1170"/>
        <w:rPr>
          <w:rFonts w:ascii="Open Sans" w:hAnsi="Open Sans" w:cs="Open Sans"/>
          <w:sz w:val="22"/>
        </w:rPr>
      </w:pPr>
      <w:bookmarkStart w:id="46" w:name="_Hlk54770141"/>
      <w:r w:rsidRPr="00EE7081">
        <w:rPr>
          <w:rFonts w:ascii="Open Sans" w:hAnsi="Open Sans" w:cs="Open Sans"/>
          <w:sz w:val="22"/>
        </w:rPr>
        <w:t>A description of how funds awarded under this title will be spent consistent with the requirements of title II of AEFLA;</w:t>
      </w:r>
    </w:p>
    <w:p w14:paraId="72589E4D" w14:textId="55DFB962" w:rsidR="003139DD" w:rsidRPr="00EE7081" w:rsidRDefault="003139DD" w:rsidP="00D90CF9">
      <w:pPr>
        <w:pStyle w:val="Default"/>
        <w:keepLines/>
        <w:widowControl/>
        <w:numPr>
          <w:ilvl w:val="0"/>
          <w:numId w:val="24"/>
        </w:numPr>
        <w:spacing w:after="120"/>
        <w:ind w:left="1170"/>
        <w:rPr>
          <w:rFonts w:ascii="Open Sans" w:hAnsi="Open Sans" w:cs="Open Sans"/>
          <w:sz w:val="22"/>
        </w:rPr>
      </w:pPr>
      <w:r w:rsidRPr="00EE7081">
        <w:rPr>
          <w:rFonts w:ascii="Open Sans" w:hAnsi="Open Sans" w:cs="Open Sans"/>
          <w:sz w:val="22"/>
        </w:rPr>
        <w:t>A description of any cooperative arrangements the eligible provider has with other agencies, institutions, or organizations for the delivery of adult education and literacy activities;</w:t>
      </w:r>
    </w:p>
    <w:p w14:paraId="4CBDEE4D" w14:textId="7E1EA715" w:rsidR="003139DD" w:rsidRPr="00EE7081" w:rsidRDefault="003139DD" w:rsidP="00D90CF9">
      <w:pPr>
        <w:pStyle w:val="Default"/>
        <w:keepLines/>
        <w:widowControl/>
        <w:numPr>
          <w:ilvl w:val="0"/>
          <w:numId w:val="24"/>
        </w:numPr>
        <w:spacing w:after="120"/>
        <w:ind w:left="1170"/>
        <w:rPr>
          <w:rFonts w:ascii="Open Sans" w:hAnsi="Open Sans" w:cs="Open Sans"/>
          <w:sz w:val="22"/>
        </w:rPr>
      </w:pPr>
      <w:bookmarkStart w:id="47" w:name="_Hlk56781927"/>
      <w:r w:rsidRPr="00EE7081">
        <w:rPr>
          <w:rFonts w:ascii="Open Sans" w:hAnsi="Open Sans" w:cs="Open Sans"/>
          <w:sz w:val="22"/>
        </w:rPr>
        <w:t>A description of how the eligible provider will provide services in alignment with the local workforce development plan, including how such provider will promote concurrent enrollment in programs and activities under title I, as appropriate;</w:t>
      </w:r>
    </w:p>
    <w:bookmarkEnd w:id="47"/>
    <w:p w14:paraId="2D6BE367" w14:textId="1C7931EC" w:rsidR="003139DD" w:rsidRPr="00EE7081" w:rsidRDefault="003139DD" w:rsidP="00D90CF9">
      <w:pPr>
        <w:pStyle w:val="Default"/>
        <w:keepLines/>
        <w:widowControl/>
        <w:numPr>
          <w:ilvl w:val="0"/>
          <w:numId w:val="24"/>
        </w:numPr>
        <w:spacing w:after="120"/>
        <w:ind w:left="1170"/>
        <w:rPr>
          <w:rFonts w:ascii="Open Sans" w:hAnsi="Open Sans" w:cs="Open Sans"/>
          <w:sz w:val="22"/>
        </w:rPr>
      </w:pPr>
      <w:r w:rsidRPr="00EE7081">
        <w:rPr>
          <w:rFonts w:ascii="Open Sans" w:hAnsi="Open Sans" w:cs="Open Sans"/>
          <w:sz w:val="22"/>
        </w:rPr>
        <w:t>A description of how the eligible provider will meet the State-adjusted levels of performance for the primary indicators of performance identified in the State's Unified or Combined State Plan, including how such provider will collect data to report on such performance indicators;</w:t>
      </w:r>
      <w:r w:rsidR="00E75937">
        <w:rPr>
          <w:rStyle w:val="FootnoteReference"/>
          <w:rFonts w:ascii="Open Sans" w:hAnsi="Open Sans" w:cs="Open Sans"/>
          <w:sz w:val="22"/>
        </w:rPr>
        <w:footnoteReference w:id="40"/>
      </w:r>
    </w:p>
    <w:p w14:paraId="4CDD03C6" w14:textId="02BC6CFD" w:rsidR="00C44132" w:rsidRDefault="003139DD" w:rsidP="00D90CF9">
      <w:pPr>
        <w:pStyle w:val="Default"/>
        <w:keepLines/>
        <w:widowControl/>
        <w:numPr>
          <w:ilvl w:val="0"/>
          <w:numId w:val="24"/>
        </w:numPr>
        <w:spacing w:after="120"/>
        <w:ind w:left="1170"/>
        <w:rPr>
          <w:rFonts w:ascii="Open Sans" w:hAnsi="Open Sans" w:cs="Open Sans"/>
          <w:sz w:val="22"/>
        </w:rPr>
      </w:pPr>
      <w:r w:rsidRPr="00EE7081">
        <w:rPr>
          <w:rFonts w:ascii="Open Sans" w:hAnsi="Open Sans" w:cs="Open Sans"/>
          <w:sz w:val="22"/>
        </w:rPr>
        <w:t>A description of how the eligible provider will fulfill, as appropriate, required one-stop partner responsibilities</w:t>
      </w:r>
      <w:r w:rsidR="00A53C36">
        <w:rPr>
          <w:rStyle w:val="FootnoteReference"/>
          <w:rFonts w:ascii="Open Sans" w:hAnsi="Open Sans" w:cs="Open Sans"/>
          <w:sz w:val="22"/>
        </w:rPr>
        <w:footnoteReference w:id="41"/>
      </w:r>
      <w:r w:rsidRPr="00EE7081">
        <w:rPr>
          <w:rFonts w:ascii="Open Sans" w:hAnsi="Open Sans" w:cs="Open Sans"/>
          <w:sz w:val="22"/>
        </w:rPr>
        <w:t xml:space="preserve"> to—</w:t>
      </w:r>
    </w:p>
    <w:p w14:paraId="0C9E7BA5" w14:textId="77777777" w:rsidR="002638FE" w:rsidRDefault="003139DD" w:rsidP="00D90CF9">
      <w:pPr>
        <w:pStyle w:val="Default"/>
        <w:keepLines/>
        <w:widowControl/>
        <w:numPr>
          <w:ilvl w:val="0"/>
          <w:numId w:val="25"/>
        </w:numPr>
        <w:spacing w:after="120"/>
        <w:ind w:left="1800" w:hanging="360"/>
        <w:rPr>
          <w:rFonts w:ascii="Open Sans" w:hAnsi="Open Sans" w:cs="Open Sans"/>
          <w:sz w:val="22"/>
        </w:rPr>
      </w:pPr>
      <w:r w:rsidRPr="00C44132">
        <w:rPr>
          <w:rFonts w:ascii="Open Sans" w:hAnsi="Open Sans" w:cs="Open Sans"/>
          <w:sz w:val="22"/>
        </w:rPr>
        <w:t>Provide access through the one-stop delivery system to adult education and literacy activities;</w:t>
      </w:r>
    </w:p>
    <w:p w14:paraId="35023326" w14:textId="33489658" w:rsidR="002638FE" w:rsidRDefault="003139DD" w:rsidP="00D90CF9">
      <w:pPr>
        <w:pStyle w:val="Default"/>
        <w:keepLines/>
        <w:widowControl/>
        <w:numPr>
          <w:ilvl w:val="0"/>
          <w:numId w:val="25"/>
        </w:numPr>
        <w:spacing w:after="120"/>
        <w:ind w:left="1800" w:hanging="360"/>
        <w:rPr>
          <w:rFonts w:ascii="Open Sans" w:hAnsi="Open Sans" w:cs="Open Sans"/>
          <w:sz w:val="22"/>
        </w:rPr>
      </w:pPr>
      <w:r w:rsidRPr="002638FE">
        <w:rPr>
          <w:rFonts w:ascii="Open Sans" w:hAnsi="Open Sans" w:cs="Open Sans"/>
          <w:sz w:val="22"/>
        </w:rPr>
        <w:t>Use a portion of the funds made available under the Act to maintain the one-stop delivery system, including payment of the infrastructure costs for the one-stop centers, in accordance with the methods agreed upon by the Local Board and described in the memorandum of understanding or the determination of the Governor regarding State one-stop infrastructure funding;</w:t>
      </w:r>
    </w:p>
    <w:p w14:paraId="7BD93E16" w14:textId="77777777" w:rsidR="002638FE" w:rsidRDefault="002638FE" w:rsidP="00D90CF9">
      <w:pPr>
        <w:pStyle w:val="Default"/>
        <w:keepLines/>
        <w:widowControl/>
        <w:numPr>
          <w:ilvl w:val="0"/>
          <w:numId w:val="25"/>
        </w:numPr>
        <w:spacing w:after="120"/>
        <w:ind w:left="1800" w:hanging="360"/>
        <w:rPr>
          <w:rFonts w:ascii="Open Sans" w:hAnsi="Open Sans" w:cs="Open Sans"/>
          <w:sz w:val="22"/>
        </w:rPr>
      </w:pPr>
      <w:r>
        <w:rPr>
          <w:rFonts w:ascii="Open Sans" w:hAnsi="Open Sans" w:cs="Open Sans"/>
          <w:sz w:val="22"/>
        </w:rPr>
        <w:t xml:space="preserve"> </w:t>
      </w:r>
      <w:proofErr w:type="gramStart"/>
      <w:r w:rsidR="003139DD" w:rsidRPr="002638FE">
        <w:rPr>
          <w:rFonts w:ascii="Open Sans" w:hAnsi="Open Sans" w:cs="Open Sans"/>
          <w:sz w:val="22"/>
        </w:rPr>
        <w:t>Enter into</w:t>
      </w:r>
      <w:proofErr w:type="gramEnd"/>
      <w:r w:rsidR="003139DD" w:rsidRPr="002638FE">
        <w:rPr>
          <w:rFonts w:ascii="Open Sans" w:hAnsi="Open Sans" w:cs="Open Sans"/>
          <w:sz w:val="22"/>
        </w:rPr>
        <w:t xml:space="preserve"> a local memorandum of understanding with the Local Board, relating to the operations of the one-stop system;</w:t>
      </w:r>
    </w:p>
    <w:p w14:paraId="4D8F664B" w14:textId="77777777" w:rsidR="002638FE" w:rsidRDefault="002638FE" w:rsidP="00D90CF9">
      <w:pPr>
        <w:pStyle w:val="Default"/>
        <w:keepLines/>
        <w:widowControl/>
        <w:numPr>
          <w:ilvl w:val="0"/>
          <w:numId w:val="25"/>
        </w:numPr>
        <w:spacing w:after="120"/>
        <w:ind w:left="1800" w:hanging="360"/>
        <w:rPr>
          <w:rFonts w:ascii="Open Sans" w:hAnsi="Open Sans" w:cs="Open Sans"/>
          <w:sz w:val="22"/>
        </w:rPr>
      </w:pPr>
      <w:r>
        <w:rPr>
          <w:rFonts w:ascii="Open Sans" w:hAnsi="Open Sans" w:cs="Open Sans"/>
          <w:sz w:val="22"/>
        </w:rPr>
        <w:t xml:space="preserve"> </w:t>
      </w:r>
      <w:r w:rsidR="003139DD" w:rsidRPr="002638FE">
        <w:rPr>
          <w:rFonts w:ascii="Open Sans" w:hAnsi="Open Sans" w:cs="Open Sans"/>
          <w:sz w:val="22"/>
        </w:rPr>
        <w:t>Participate in the operation of the one-stop system consistent with the terms of the memorandum of understanding, and the requirements of the Act; and</w:t>
      </w:r>
    </w:p>
    <w:p w14:paraId="70D06EA5" w14:textId="77777777" w:rsidR="002638FE" w:rsidRDefault="003139DD" w:rsidP="00D90CF9">
      <w:pPr>
        <w:pStyle w:val="Default"/>
        <w:keepLines/>
        <w:widowControl/>
        <w:numPr>
          <w:ilvl w:val="0"/>
          <w:numId w:val="25"/>
        </w:numPr>
        <w:spacing w:after="120"/>
        <w:ind w:left="1800" w:hanging="360"/>
        <w:rPr>
          <w:rFonts w:ascii="Open Sans" w:hAnsi="Open Sans" w:cs="Open Sans"/>
          <w:sz w:val="22"/>
        </w:rPr>
      </w:pPr>
      <w:r w:rsidRPr="002638FE">
        <w:rPr>
          <w:rFonts w:ascii="Open Sans" w:hAnsi="Open Sans" w:cs="Open Sans"/>
          <w:sz w:val="22"/>
        </w:rPr>
        <w:lastRenderedPageBreak/>
        <w:t>Provide representation to the State board;</w:t>
      </w:r>
      <w:r w:rsidR="00EA2006" w:rsidRPr="00EE7081">
        <w:rPr>
          <w:rStyle w:val="FootnoteReference"/>
          <w:rFonts w:ascii="Open Sans" w:hAnsi="Open Sans" w:cs="Open Sans"/>
          <w:sz w:val="22"/>
        </w:rPr>
        <w:footnoteReference w:id="42"/>
      </w:r>
    </w:p>
    <w:p w14:paraId="27A1884D" w14:textId="77777777" w:rsidR="007178C0" w:rsidRDefault="003139DD" w:rsidP="00D90CF9">
      <w:pPr>
        <w:pStyle w:val="Default"/>
        <w:keepLines/>
        <w:widowControl/>
        <w:numPr>
          <w:ilvl w:val="0"/>
          <w:numId w:val="24"/>
        </w:numPr>
        <w:spacing w:after="120"/>
        <w:ind w:left="1170"/>
        <w:rPr>
          <w:rFonts w:ascii="Open Sans" w:hAnsi="Open Sans" w:cs="Open Sans"/>
          <w:sz w:val="22"/>
        </w:rPr>
      </w:pPr>
      <w:r w:rsidRPr="002638FE">
        <w:rPr>
          <w:rFonts w:ascii="Open Sans" w:hAnsi="Open Sans" w:cs="Open Sans"/>
          <w:sz w:val="22"/>
        </w:rPr>
        <w:t>A description of how the eligible provider will provide services in a manner that meets the needs of eligible individuals;</w:t>
      </w:r>
    </w:p>
    <w:p w14:paraId="13C4514B" w14:textId="0EA63D4A" w:rsidR="007178C0" w:rsidRDefault="003139DD" w:rsidP="00D90CF9">
      <w:pPr>
        <w:pStyle w:val="Default"/>
        <w:keepLines/>
        <w:widowControl/>
        <w:numPr>
          <w:ilvl w:val="0"/>
          <w:numId w:val="24"/>
        </w:numPr>
        <w:spacing w:after="120"/>
        <w:ind w:left="1170"/>
        <w:rPr>
          <w:rFonts w:ascii="Open Sans" w:hAnsi="Open Sans" w:cs="Open Sans"/>
          <w:sz w:val="22"/>
        </w:rPr>
      </w:pPr>
      <w:r w:rsidRPr="007178C0">
        <w:rPr>
          <w:rFonts w:ascii="Open Sans" w:hAnsi="Open Sans" w:cs="Open Sans"/>
          <w:sz w:val="22"/>
        </w:rPr>
        <w:t xml:space="preserve">Information that addresses the 13 considerations listed </w:t>
      </w:r>
      <w:r w:rsidR="00D21E54" w:rsidRPr="007178C0">
        <w:rPr>
          <w:rFonts w:ascii="Open Sans" w:hAnsi="Open Sans" w:cs="Open Sans"/>
          <w:sz w:val="22"/>
        </w:rPr>
        <w:t>under</w:t>
      </w:r>
      <w:r w:rsidRPr="007178C0">
        <w:rPr>
          <w:rFonts w:ascii="Open Sans" w:hAnsi="Open Sans" w:cs="Open Sans"/>
          <w:sz w:val="22"/>
        </w:rPr>
        <w:t xml:space="preserve"> </w:t>
      </w:r>
      <w:r w:rsidR="00D21E54" w:rsidRPr="007178C0">
        <w:rPr>
          <w:rFonts w:ascii="Open Sans" w:hAnsi="Open Sans" w:cs="Open Sans"/>
          <w:sz w:val="22"/>
        </w:rPr>
        <w:t xml:space="preserve">“Considerations in Awarding Grants” </w:t>
      </w:r>
      <w:r w:rsidR="00507A16">
        <w:rPr>
          <w:rFonts w:ascii="Open Sans" w:hAnsi="Open Sans" w:cs="Open Sans"/>
          <w:sz w:val="22"/>
        </w:rPr>
        <w:t>of this section</w:t>
      </w:r>
      <w:r w:rsidRPr="007178C0">
        <w:rPr>
          <w:rFonts w:ascii="Open Sans" w:hAnsi="Open Sans" w:cs="Open Sans"/>
          <w:sz w:val="22"/>
        </w:rPr>
        <w:t>; and</w:t>
      </w:r>
    </w:p>
    <w:p w14:paraId="1E792E54" w14:textId="3DBF6FAB" w:rsidR="00A20BC5" w:rsidRPr="007178C0" w:rsidRDefault="003139DD" w:rsidP="00D90CF9">
      <w:pPr>
        <w:pStyle w:val="Default"/>
        <w:keepLines/>
        <w:widowControl/>
        <w:numPr>
          <w:ilvl w:val="0"/>
          <w:numId w:val="24"/>
        </w:numPr>
        <w:spacing w:after="120"/>
        <w:ind w:left="1170"/>
        <w:rPr>
          <w:rFonts w:ascii="Open Sans" w:hAnsi="Open Sans" w:cs="Open Sans"/>
          <w:sz w:val="22"/>
        </w:rPr>
      </w:pPr>
      <w:r w:rsidRPr="007178C0">
        <w:rPr>
          <w:rFonts w:ascii="Open Sans" w:hAnsi="Open Sans" w:cs="Open Sans"/>
          <w:sz w:val="22"/>
        </w:rPr>
        <w:t>Documentation of the activities required by §463.21(b).</w:t>
      </w:r>
      <w:bookmarkEnd w:id="46"/>
      <w:r w:rsidR="00AA45C5" w:rsidRPr="00EE7081">
        <w:rPr>
          <w:rStyle w:val="FootnoteReference"/>
          <w:rFonts w:ascii="Open Sans" w:hAnsi="Open Sans" w:cs="Open Sans"/>
          <w:sz w:val="22"/>
        </w:rPr>
        <w:footnoteReference w:id="43"/>
      </w:r>
      <w:bookmarkStart w:id="48" w:name="_Toc30575336"/>
    </w:p>
    <w:p w14:paraId="7BB43630" w14:textId="77777777" w:rsidR="00EA0734" w:rsidRDefault="00EA0734" w:rsidP="00EA0734">
      <w:pPr>
        <w:pStyle w:val="Heading3"/>
        <w:keepLines/>
      </w:pPr>
    </w:p>
    <w:p w14:paraId="54DBCC25" w14:textId="5F05C71B" w:rsidR="00FC64E6" w:rsidRPr="00EE7081" w:rsidRDefault="00FC64E6" w:rsidP="00EA0734">
      <w:pPr>
        <w:pStyle w:val="Heading3"/>
        <w:keepLines/>
      </w:pPr>
      <w:r w:rsidRPr="00EE7081">
        <w:t>GEPA Section 427</w:t>
      </w:r>
      <w:r w:rsidR="00967A4B" w:rsidRPr="003A10A3">
        <w:rPr>
          <w:rStyle w:val="FootnoteReference"/>
          <w:b w:val="0"/>
          <w:bCs/>
        </w:rPr>
        <w:footnoteReference w:id="44"/>
      </w:r>
    </w:p>
    <w:p w14:paraId="09977688" w14:textId="12AAE4F3" w:rsidR="00FC64E6" w:rsidRPr="00EE7081" w:rsidRDefault="00FC64E6" w:rsidP="00EA0734">
      <w:pPr>
        <w:keepLines/>
      </w:pPr>
    </w:p>
    <w:p w14:paraId="1F30B8C2" w14:textId="2E532B6D" w:rsidR="003542AD" w:rsidRPr="00EE7081" w:rsidRDefault="00FC64E6" w:rsidP="00EA0734">
      <w:pPr>
        <w:keepLines/>
      </w:pPr>
      <w:r w:rsidRPr="00EE7081">
        <w:t xml:space="preserve">Applicants must include information to address Section 427 of the General Education Provisions Act (GEPA). </w:t>
      </w:r>
      <w:r w:rsidR="003542AD" w:rsidRPr="00EE7081">
        <w:t xml:space="preserve">The provision established in Section 427 requires each applicant </w:t>
      </w:r>
      <w:r w:rsidR="004C566D">
        <w:t xml:space="preserve">to </w:t>
      </w:r>
      <w:r w:rsidR="003542AD" w:rsidRPr="00EE7081">
        <w:t xml:space="preserve">include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w:t>
      </w:r>
    </w:p>
    <w:p w14:paraId="69332822" w14:textId="77777777" w:rsidR="003542AD" w:rsidRPr="00EE7081" w:rsidRDefault="003542AD" w:rsidP="00EA0734">
      <w:pPr>
        <w:keepLines/>
      </w:pPr>
    </w:p>
    <w:p w14:paraId="43DA4E9E" w14:textId="305FEDAA" w:rsidR="003542AD" w:rsidRPr="00EE7081" w:rsidRDefault="003542AD" w:rsidP="00EA0734">
      <w:pPr>
        <w:keepLines/>
      </w:pPr>
      <w:r w:rsidRPr="00EE7081">
        <w:t xml:space="preserve">The statute highlights six types of barriers that can impede equitable access or participation: gender, race, national origin, color, disability, or age. Based on local circumstances, </w:t>
      </w:r>
      <w:r w:rsidR="00420D14" w:rsidRPr="00EE7081">
        <w:t>applicants</w:t>
      </w:r>
      <w:r w:rsidRPr="00EE7081">
        <w:t xml:space="preserve"> should determine whether these or other barriers may prevent students, teachers, etc. from such access or participation in, the Federally</w:t>
      </w:r>
      <w:r w:rsidR="007449A5">
        <w:t xml:space="preserve"> </w:t>
      </w:r>
      <w:r w:rsidRPr="00EE7081">
        <w:t xml:space="preserve">funded project or activity. The description in the application of steps to be taken to overcome these barriers need not be lengthy; the applicant should provide a clear and succinct description of how the applicant plans to address those barriers that are applicable to their circumstances. </w:t>
      </w:r>
    </w:p>
    <w:p w14:paraId="282FA2E2" w14:textId="77777777" w:rsidR="003542AD" w:rsidRPr="00EE7081" w:rsidRDefault="003542AD" w:rsidP="00EA0734">
      <w:pPr>
        <w:keepLines/>
      </w:pPr>
    </w:p>
    <w:p w14:paraId="2BD86BF3" w14:textId="0209E931" w:rsidR="003542AD" w:rsidRPr="00EE7081" w:rsidRDefault="003542AD" w:rsidP="00EA0734">
      <w:pPr>
        <w:keepLines/>
      </w:pPr>
      <w:r w:rsidRPr="00EE7081">
        <w:t>Section 427 is meant to ensure that, in designing their projects, applicants for Federal funds address equity concerns that may affect the ability of certain potential beneficiaries to fully participate in the project and to achieve high standards. Consistent with program requirements, a</w:t>
      </w:r>
      <w:r w:rsidR="003F7757">
        <w:t xml:space="preserve"> grantee </w:t>
      </w:r>
      <w:r w:rsidRPr="00EE7081">
        <w:t>may use the Federal funds awarded to it to eliminate barriers it identifies.</w:t>
      </w:r>
    </w:p>
    <w:p w14:paraId="7AA7D130" w14:textId="77777777" w:rsidR="003542AD" w:rsidRPr="00EE7081" w:rsidRDefault="003542AD" w:rsidP="00EA0734">
      <w:pPr>
        <w:keepLines/>
      </w:pPr>
    </w:p>
    <w:p w14:paraId="7D4E1DEF" w14:textId="77777777" w:rsidR="002D09D0" w:rsidRDefault="003542AD" w:rsidP="00102A08">
      <w:pPr>
        <w:keepLines/>
      </w:pPr>
      <w:r w:rsidRPr="00EE7081">
        <w:t>The following examples may help illustrate how an applicant may comply with Section 427.</w:t>
      </w:r>
    </w:p>
    <w:p w14:paraId="435C792D" w14:textId="58290F0D" w:rsidR="002D09D0" w:rsidRPr="002D09D0" w:rsidRDefault="003542AD" w:rsidP="00D90CF9">
      <w:pPr>
        <w:pStyle w:val="ListParagraph"/>
        <w:keepLines/>
        <w:numPr>
          <w:ilvl w:val="0"/>
          <w:numId w:val="26"/>
        </w:numPr>
        <w:spacing w:line="240" w:lineRule="auto"/>
        <w:rPr>
          <w:rFonts w:ascii="Open Sans" w:hAnsi="Open Sans"/>
        </w:rPr>
      </w:pPr>
      <w:r w:rsidRPr="002D09D0">
        <w:rPr>
          <w:rFonts w:ascii="Open Sans" w:hAnsi="Open Sans"/>
        </w:rPr>
        <w:lastRenderedPageBreak/>
        <w:t>An applicant that proposes to carry out an adult literacy project serving, among others, adults with limited English proficiency, might describe in its application how it intends to distribute a brochure about the proposed project to potential participants in their native language.</w:t>
      </w:r>
    </w:p>
    <w:p w14:paraId="4A02B87D" w14:textId="77777777" w:rsidR="002D09D0" w:rsidRPr="002D09D0" w:rsidRDefault="002D09D0" w:rsidP="002D09D0">
      <w:pPr>
        <w:pStyle w:val="ListParagraph"/>
        <w:keepLines/>
        <w:spacing w:line="240" w:lineRule="auto"/>
        <w:rPr>
          <w:rFonts w:ascii="Open Sans" w:hAnsi="Open Sans"/>
        </w:rPr>
      </w:pPr>
    </w:p>
    <w:p w14:paraId="2165A272" w14:textId="6E461E2C" w:rsidR="002F5663" w:rsidRPr="002F5663" w:rsidRDefault="003542AD" w:rsidP="002F5663">
      <w:pPr>
        <w:pStyle w:val="ListParagraph"/>
        <w:keepLines/>
        <w:numPr>
          <w:ilvl w:val="0"/>
          <w:numId w:val="26"/>
        </w:numPr>
        <w:spacing w:after="0" w:line="240" w:lineRule="auto"/>
      </w:pPr>
      <w:r w:rsidRPr="002F5663">
        <w:rPr>
          <w:rFonts w:ascii="Open Sans" w:hAnsi="Open Sans"/>
        </w:rPr>
        <w:t>An applicant that proposes to carry out a manufacturing integrated education and training program for students</w:t>
      </w:r>
      <w:r w:rsidR="0012166A" w:rsidRPr="002F5663">
        <w:rPr>
          <w:rFonts w:ascii="Open Sans" w:hAnsi="Open Sans"/>
        </w:rPr>
        <w:t>,</w:t>
      </w:r>
      <w:r w:rsidRPr="002F5663">
        <w:rPr>
          <w:rFonts w:ascii="Open Sans" w:hAnsi="Open Sans"/>
        </w:rPr>
        <w:t xml:space="preserve"> and is concerned that women may be less likely than men to enroll in the program, might indicate how it intends to conduct outreach efforts to women to encourage their enrollment.</w:t>
      </w:r>
    </w:p>
    <w:p w14:paraId="73B76A0A" w14:textId="77777777" w:rsidR="002F5663" w:rsidRDefault="002F5663" w:rsidP="002F5663">
      <w:pPr>
        <w:keepLines/>
      </w:pPr>
    </w:p>
    <w:p w14:paraId="79129E02" w14:textId="56BC6370" w:rsidR="00A20BC5" w:rsidRPr="00EE7081" w:rsidRDefault="00905FF0" w:rsidP="002F5663">
      <w:pPr>
        <w:pStyle w:val="Heading2"/>
        <w:contextualSpacing w:val="0"/>
      </w:pPr>
      <w:bookmarkStart w:id="49" w:name="_Toc128579627"/>
      <w:r w:rsidRPr="00EE7081">
        <w:t>Writing the Application</w:t>
      </w:r>
      <w:bookmarkEnd w:id="49"/>
      <w:r w:rsidR="00A20BC5" w:rsidRPr="00EE7081">
        <w:t xml:space="preserve"> </w:t>
      </w:r>
    </w:p>
    <w:p w14:paraId="5A449C4D" w14:textId="58694A23" w:rsidR="00A20BC5" w:rsidRPr="00EE7081" w:rsidRDefault="00A20BC5" w:rsidP="00EA0734">
      <w:pPr>
        <w:keepLines/>
      </w:pPr>
    </w:p>
    <w:p w14:paraId="73F6C3A9" w14:textId="5BD43615" w:rsidR="001E46DB" w:rsidRPr="00EE7081" w:rsidRDefault="001552EC" w:rsidP="00EA0734">
      <w:pPr>
        <w:keepLines/>
        <w:spacing w:after="120"/>
        <w:contextualSpacing/>
      </w:pPr>
      <w:r>
        <w:t>Applicants should write their grant application</w:t>
      </w:r>
      <w:r w:rsidR="00A84603">
        <w:t xml:space="preserve"> in a way that </w:t>
      </w:r>
      <w:r w:rsidR="001E46DB" w:rsidRPr="00EE7081">
        <w:t xml:space="preserve">coincides with the “Considerations for Awarding Grants” and “Required Application Information” detailed above and in the </w:t>
      </w:r>
      <w:r w:rsidR="00CD7270">
        <w:t>s</w:t>
      </w:r>
      <w:r w:rsidR="00460A0F">
        <w:t xml:space="preserve">coring </w:t>
      </w:r>
      <w:r w:rsidR="00CD7270">
        <w:t>r</w:t>
      </w:r>
      <w:r w:rsidR="00460A0F">
        <w:t>ubric</w:t>
      </w:r>
      <w:r w:rsidR="001E46DB" w:rsidRPr="00EE7081">
        <w:t xml:space="preserve"> (see Appendix</w:t>
      </w:r>
      <w:r w:rsidR="00460A0F">
        <w:t xml:space="preserve"> D</w:t>
      </w:r>
      <w:r w:rsidR="001E46DB" w:rsidRPr="00EE7081">
        <w:t xml:space="preserve">). The application </w:t>
      </w:r>
      <w:r w:rsidR="0053646B">
        <w:t>must</w:t>
      </w:r>
      <w:r w:rsidR="001E46DB" w:rsidRPr="00EE7081">
        <w:t>:</w:t>
      </w:r>
    </w:p>
    <w:p w14:paraId="5EED0EC7" w14:textId="21BE0ED2" w:rsidR="001E46DB" w:rsidRPr="00EE7081" w:rsidRDefault="00623D37" w:rsidP="00D90CF9">
      <w:pPr>
        <w:pStyle w:val="ListParagraph"/>
        <w:keepLines/>
        <w:numPr>
          <w:ilvl w:val="0"/>
          <w:numId w:val="14"/>
        </w:numPr>
        <w:spacing w:after="120" w:line="240" w:lineRule="auto"/>
        <w:contextualSpacing w:val="0"/>
        <w:rPr>
          <w:rFonts w:ascii="Open Sans" w:hAnsi="Open Sans"/>
        </w:rPr>
      </w:pPr>
      <w:r>
        <w:rPr>
          <w:rFonts w:ascii="Open Sans" w:hAnsi="Open Sans"/>
        </w:rPr>
        <w:t xml:space="preserve">Be </w:t>
      </w:r>
      <w:r w:rsidR="001E46DB" w:rsidRPr="00EE7081">
        <w:rPr>
          <w:rFonts w:ascii="Open Sans" w:hAnsi="Open Sans"/>
        </w:rPr>
        <w:t xml:space="preserve">written in narrative form; </w:t>
      </w:r>
    </w:p>
    <w:p w14:paraId="272BCDBD" w14:textId="776A87F1" w:rsidR="001E46DB" w:rsidRPr="00EE7081" w:rsidRDefault="00623D37" w:rsidP="00D90CF9">
      <w:pPr>
        <w:pStyle w:val="ListParagraph"/>
        <w:keepLines/>
        <w:numPr>
          <w:ilvl w:val="0"/>
          <w:numId w:val="14"/>
        </w:numPr>
        <w:spacing w:after="120" w:line="240" w:lineRule="auto"/>
        <w:contextualSpacing w:val="0"/>
        <w:rPr>
          <w:rFonts w:ascii="Open Sans" w:hAnsi="Open Sans"/>
        </w:rPr>
      </w:pPr>
      <w:r>
        <w:rPr>
          <w:rFonts w:ascii="Open Sans" w:hAnsi="Open Sans"/>
        </w:rPr>
        <w:t xml:space="preserve">Be </w:t>
      </w:r>
      <w:r w:rsidR="00A20BC5" w:rsidRPr="00EE7081">
        <w:rPr>
          <w:rFonts w:ascii="Open Sans" w:hAnsi="Open Sans"/>
        </w:rPr>
        <w:t>formatted using 12-point, double-spaced, Times New Roman font;</w:t>
      </w:r>
    </w:p>
    <w:p w14:paraId="1FE4167A" w14:textId="63C73216" w:rsidR="001E46DB" w:rsidRPr="00EE7081" w:rsidRDefault="00623D37" w:rsidP="00D90CF9">
      <w:pPr>
        <w:pStyle w:val="ListParagraph"/>
        <w:keepLines/>
        <w:numPr>
          <w:ilvl w:val="0"/>
          <w:numId w:val="14"/>
        </w:numPr>
        <w:spacing w:after="120" w:line="240" w:lineRule="auto"/>
        <w:contextualSpacing w:val="0"/>
        <w:rPr>
          <w:rFonts w:ascii="Open Sans" w:hAnsi="Open Sans"/>
        </w:rPr>
      </w:pPr>
      <w:r>
        <w:rPr>
          <w:rFonts w:ascii="Open Sans" w:hAnsi="Open Sans"/>
        </w:rPr>
        <w:t>I</w:t>
      </w:r>
      <w:r w:rsidR="00A20BC5" w:rsidRPr="00EE7081">
        <w:rPr>
          <w:rFonts w:ascii="Open Sans" w:hAnsi="Open Sans"/>
        </w:rPr>
        <w:t>nclude numbered pages and a running header containing the applicant name;</w:t>
      </w:r>
    </w:p>
    <w:p w14:paraId="785B7137" w14:textId="4F2FBCFE" w:rsidR="00905FF0" w:rsidRPr="00A40C33" w:rsidRDefault="00623D37" w:rsidP="00D90CF9">
      <w:pPr>
        <w:pStyle w:val="ListParagraph"/>
        <w:keepLines/>
        <w:numPr>
          <w:ilvl w:val="0"/>
          <w:numId w:val="14"/>
        </w:numPr>
        <w:spacing w:after="120" w:line="240" w:lineRule="auto"/>
        <w:contextualSpacing w:val="0"/>
        <w:rPr>
          <w:rFonts w:ascii="Open Sans" w:hAnsi="Open Sans"/>
        </w:rPr>
      </w:pPr>
      <w:r>
        <w:rPr>
          <w:rFonts w:ascii="Open Sans" w:hAnsi="Open Sans"/>
          <w:color w:val="000000"/>
        </w:rPr>
        <w:t xml:space="preserve">Be </w:t>
      </w:r>
      <w:r w:rsidR="00A20BC5" w:rsidRPr="00EE7081">
        <w:rPr>
          <w:rFonts w:ascii="Open Sans" w:hAnsi="Open Sans"/>
          <w:color w:val="000000"/>
        </w:rPr>
        <w:t>organized to reflect the 1</w:t>
      </w:r>
      <w:r w:rsidR="00967A4B" w:rsidRPr="00EE7081">
        <w:rPr>
          <w:rFonts w:ascii="Open Sans" w:hAnsi="Open Sans"/>
          <w:color w:val="000000"/>
        </w:rPr>
        <w:t>3</w:t>
      </w:r>
      <w:r w:rsidR="00A20BC5" w:rsidRPr="00EE7081">
        <w:rPr>
          <w:rFonts w:ascii="Open Sans" w:hAnsi="Open Sans"/>
          <w:color w:val="000000"/>
        </w:rPr>
        <w:t xml:space="preserve"> parts of the </w:t>
      </w:r>
      <w:r w:rsidR="0051655F">
        <w:rPr>
          <w:rFonts w:ascii="Open Sans" w:hAnsi="Open Sans"/>
          <w:color w:val="000000"/>
        </w:rPr>
        <w:t>scoring rubric</w:t>
      </w:r>
      <w:r w:rsidR="00A20BC5" w:rsidRPr="00EE7081">
        <w:rPr>
          <w:rFonts w:ascii="Open Sans" w:hAnsi="Open Sans"/>
          <w:color w:val="000000"/>
        </w:rPr>
        <w:t xml:space="preserve"> </w:t>
      </w:r>
      <w:r w:rsidR="001E46DB" w:rsidRPr="00EE7081">
        <w:rPr>
          <w:rFonts w:ascii="Open Sans" w:hAnsi="Open Sans"/>
          <w:color w:val="000000"/>
        </w:rPr>
        <w:t>and include</w:t>
      </w:r>
      <w:r w:rsidR="00A20BC5" w:rsidRPr="00EE7081">
        <w:rPr>
          <w:rFonts w:ascii="Open Sans" w:hAnsi="Open Sans"/>
          <w:color w:val="000000"/>
        </w:rPr>
        <w:t xml:space="preserve"> clearly labeled section heading</w:t>
      </w:r>
      <w:r w:rsidR="009F44F8">
        <w:rPr>
          <w:rFonts w:ascii="Open Sans" w:hAnsi="Open Sans"/>
          <w:color w:val="000000"/>
        </w:rPr>
        <w:t>s</w:t>
      </w:r>
      <w:r w:rsidR="00A20BC5" w:rsidRPr="00EE7081">
        <w:rPr>
          <w:rFonts w:ascii="Open Sans" w:hAnsi="Open Sans"/>
          <w:color w:val="000000"/>
        </w:rPr>
        <w:t xml:space="preserve"> to distinguish each part</w:t>
      </w:r>
      <w:r w:rsidR="00A40C33">
        <w:rPr>
          <w:rFonts w:ascii="Open Sans" w:hAnsi="Open Sans"/>
          <w:color w:val="000000"/>
        </w:rPr>
        <w:t xml:space="preserve">; </w:t>
      </w:r>
    </w:p>
    <w:p w14:paraId="10CE8F4B" w14:textId="7A53D9A1" w:rsidR="00623D37" w:rsidRDefault="00623D37" w:rsidP="00D90CF9">
      <w:pPr>
        <w:pStyle w:val="ListParagraph"/>
        <w:keepLines/>
        <w:numPr>
          <w:ilvl w:val="0"/>
          <w:numId w:val="14"/>
        </w:numPr>
        <w:spacing w:after="120" w:line="240" w:lineRule="auto"/>
        <w:contextualSpacing w:val="0"/>
        <w:rPr>
          <w:rFonts w:ascii="Open Sans" w:hAnsi="Open Sans"/>
          <w:color w:val="000000"/>
        </w:rPr>
      </w:pPr>
      <w:r>
        <w:rPr>
          <w:rFonts w:ascii="Open Sans" w:hAnsi="Open Sans"/>
        </w:rPr>
        <w:t xml:space="preserve">Include a cover </w:t>
      </w:r>
      <w:r w:rsidRPr="00623D37">
        <w:rPr>
          <w:rFonts w:ascii="Open Sans" w:hAnsi="Open Sans"/>
          <w:color w:val="000000"/>
        </w:rPr>
        <w:t>page</w:t>
      </w:r>
      <w:r w:rsidRPr="00EE7081">
        <w:rPr>
          <w:rStyle w:val="FootnoteReference"/>
          <w:rFonts w:ascii="Open Sans" w:hAnsi="Open Sans"/>
          <w:color w:val="000000"/>
        </w:rPr>
        <w:footnoteReference w:id="45"/>
      </w:r>
      <w:r w:rsidRPr="00623D37">
        <w:rPr>
          <w:rFonts w:ascii="Open Sans" w:hAnsi="Open Sans"/>
          <w:color w:val="000000"/>
        </w:rPr>
        <w:t xml:space="preserve"> </w:t>
      </w:r>
      <w:r w:rsidR="00C36677">
        <w:rPr>
          <w:rFonts w:ascii="Open Sans" w:hAnsi="Open Sans"/>
          <w:color w:val="000000"/>
        </w:rPr>
        <w:t>(s</w:t>
      </w:r>
      <w:r w:rsidRPr="00623D37">
        <w:rPr>
          <w:rFonts w:ascii="Open Sans" w:hAnsi="Open Sans"/>
          <w:color w:val="000000"/>
        </w:rPr>
        <w:t xml:space="preserve">ee </w:t>
      </w:r>
      <w:r w:rsidR="00FB1CD7">
        <w:rPr>
          <w:rFonts w:ascii="Open Sans" w:hAnsi="Open Sans"/>
          <w:color w:val="000000"/>
        </w:rPr>
        <w:t xml:space="preserve">Appendix </w:t>
      </w:r>
      <w:r w:rsidR="00611A16">
        <w:rPr>
          <w:rFonts w:ascii="Open Sans" w:hAnsi="Open Sans"/>
          <w:color w:val="000000"/>
        </w:rPr>
        <w:t>B</w:t>
      </w:r>
      <w:r w:rsidR="00C36677">
        <w:rPr>
          <w:rFonts w:ascii="Open Sans" w:hAnsi="Open Sans"/>
          <w:color w:val="000000"/>
        </w:rPr>
        <w:t>); and</w:t>
      </w:r>
    </w:p>
    <w:p w14:paraId="00BD4A23" w14:textId="77777777" w:rsidR="00E34862" w:rsidRPr="00D068CE" w:rsidRDefault="00623D37" w:rsidP="00D068CE">
      <w:pPr>
        <w:pStyle w:val="ListParagraph"/>
        <w:keepLines/>
        <w:numPr>
          <w:ilvl w:val="0"/>
          <w:numId w:val="14"/>
        </w:numPr>
        <w:spacing w:after="120" w:line="240" w:lineRule="auto"/>
        <w:contextualSpacing w:val="0"/>
        <w:rPr>
          <w:rFonts w:ascii="Open Sans" w:hAnsi="Open Sans"/>
        </w:rPr>
      </w:pPr>
      <w:r w:rsidRPr="00D068CE">
        <w:rPr>
          <w:rFonts w:ascii="Open Sans" w:hAnsi="Open Sans"/>
        </w:rPr>
        <w:t xml:space="preserve">Be submitted as a </w:t>
      </w:r>
      <w:r w:rsidR="00FB2AC2" w:rsidRPr="00D068CE">
        <w:rPr>
          <w:rFonts w:ascii="Open Sans" w:hAnsi="Open Sans"/>
        </w:rPr>
        <w:t>Word document</w:t>
      </w:r>
      <w:r w:rsidR="00E6331A" w:rsidRPr="00D068CE">
        <w:rPr>
          <w:rFonts w:ascii="Open Sans" w:hAnsi="Open Sans"/>
        </w:rPr>
        <w:t xml:space="preserve"> or </w:t>
      </w:r>
      <w:r w:rsidRPr="00D068CE">
        <w:rPr>
          <w:rFonts w:ascii="Open Sans" w:hAnsi="Open Sans"/>
        </w:rPr>
        <w:t>PDF.</w:t>
      </w:r>
    </w:p>
    <w:p w14:paraId="76B85001" w14:textId="474ED7D1" w:rsidR="00335119" w:rsidRPr="00D068CE" w:rsidRDefault="00042DD7" w:rsidP="00D068CE">
      <w:pPr>
        <w:pStyle w:val="ListParagraph"/>
        <w:keepLines/>
        <w:numPr>
          <w:ilvl w:val="0"/>
          <w:numId w:val="14"/>
        </w:numPr>
        <w:spacing w:after="120" w:line="240" w:lineRule="auto"/>
        <w:contextualSpacing w:val="0"/>
        <w:rPr>
          <w:rFonts w:ascii="Open Sans" w:hAnsi="Open Sans"/>
        </w:rPr>
      </w:pPr>
      <w:r w:rsidRPr="00D068CE">
        <w:rPr>
          <w:rFonts w:ascii="Open Sans" w:hAnsi="Open Sans"/>
        </w:rPr>
        <w:t>Applicants must also pro</w:t>
      </w:r>
      <w:r w:rsidR="009E7DEC" w:rsidRPr="00D068CE">
        <w:rPr>
          <w:rFonts w:ascii="Open Sans" w:hAnsi="Open Sans"/>
        </w:rPr>
        <w:t>vide “Demonstrated Effectiveness” data</w:t>
      </w:r>
      <w:r w:rsidR="008D2625">
        <w:rPr>
          <w:rFonts w:ascii="Open Sans" w:hAnsi="Open Sans"/>
        </w:rPr>
        <w:t xml:space="preserve"> </w:t>
      </w:r>
      <w:r w:rsidR="005A26EA">
        <w:rPr>
          <w:rFonts w:ascii="Open Sans" w:hAnsi="Open Sans"/>
        </w:rPr>
        <w:t>(s</w:t>
      </w:r>
      <w:r w:rsidR="008D2625">
        <w:rPr>
          <w:rFonts w:ascii="Open Sans" w:hAnsi="Open Sans"/>
        </w:rPr>
        <w:t>ee Appendix A</w:t>
      </w:r>
      <w:r w:rsidR="005A26EA">
        <w:rPr>
          <w:rFonts w:ascii="Open Sans" w:hAnsi="Open Sans"/>
        </w:rPr>
        <w:t>)</w:t>
      </w:r>
      <w:r w:rsidR="008D2625">
        <w:rPr>
          <w:rFonts w:ascii="Open Sans" w:hAnsi="Open Sans"/>
        </w:rPr>
        <w:t>.</w:t>
      </w:r>
    </w:p>
    <w:p w14:paraId="736740FF" w14:textId="5B49353E" w:rsidR="00E34862" w:rsidRPr="00D068CE" w:rsidRDefault="00E34862" w:rsidP="00D068CE">
      <w:pPr>
        <w:pStyle w:val="ListParagraph"/>
        <w:keepLines/>
        <w:numPr>
          <w:ilvl w:val="0"/>
          <w:numId w:val="14"/>
        </w:numPr>
        <w:spacing w:after="120" w:line="240" w:lineRule="auto"/>
        <w:contextualSpacing w:val="0"/>
        <w:rPr>
          <w:rFonts w:ascii="Open Sans" w:hAnsi="Open Sans"/>
        </w:rPr>
      </w:pPr>
      <w:r w:rsidRPr="00D068CE">
        <w:rPr>
          <w:rFonts w:ascii="Open Sans" w:hAnsi="Open Sans"/>
        </w:rPr>
        <w:t>Applicants must also provide a complete</w:t>
      </w:r>
      <w:r w:rsidR="00D068CE" w:rsidRPr="00D068CE">
        <w:rPr>
          <w:rFonts w:ascii="Open Sans" w:hAnsi="Open Sans"/>
        </w:rPr>
        <w:t>d budget proposal</w:t>
      </w:r>
      <w:r w:rsidR="008D2625">
        <w:rPr>
          <w:rFonts w:ascii="Open Sans" w:hAnsi="Open Sans"/>
        </w:rPr>
        <w:t xml:space="preserve"> spreadsheet</w:t>
      </w:r>
      <w:r w:rsidR="005A26EA">
        <w:rPr>
          <w:rFonts w:ascii="Open Sans" w:hAnsi="Open Sans"/>
        </w:rPr>
        <w:t xml:space="preserve"> (s</w:t>
      </w:r>
      <w:r w:rsidR="008D2625">
        <w:rPr>
          <w:rFonts w:ascii="Open Sans" w:hAnsi="Open Sans"/>
        </w:rPr>
        <w:t>ee</w:t>
      </w:r>
      <w:r w:rsidR="00D068CE" w:rsidRPr="00D068CE">
        <w:rPr>
          <w:rFonts w:ascii="Open Sans" w:hAnsi="Open Sans"/>
        </w:rPr>
        <w:t xml:space="preserve"> Appendix</w:t>
      </w:r>
      <w:r w:rsidR="008D2625">
        <w:rPr>
          <w:rFonts w:ascii="Open Sans" w:hAnsi="Open Sans"/>
        </w:rPr>
        <w:t xml:space="preserve"> C</w:t>
      </w:r>
      <w:r w:rsidR="005A26EA">
        <w:rPr>
          <w:rFonts w:ascii="Open Sans" w:hAnsi="Open Sans"/>
        </w:rPr>
        <w:t>)</w:t>
      </w:r>
      <w:r w:rsidR="00D068CE" w:rsidRPr="00D068CE">
        <w:rPr>
          <w:rFonts w:ascii="Open Sans" w:hAnsi="Open Sans"/>
        </w:rPr>
        <w:t>.</w:t>
      </w:r>
    </w:p>
    <w:p w14:paraId="1933637B" w14:textId="637C3748" w:rsidR="00D17255" w:rsidRDefault="00D17255" w:rsidP="00EA0734">
      <w:pPr>
        <w:keepLines/>
        <w:contextualSpacing/>
        <w:rPr>
          <w:b/>
        </w:rPr>
      </w:pPr>
    </w:p>
    <w:p w14:paraId="68D78EE5" w14:textId="410A39C0" w:rsidR="006A20C7" w:rsidRPr="00EE7081" w:rsidRDefault="00D17255" w:rsidP="00DB2105">
      <w:pPr>
        <w:keepLines/>
        <w:contextualSpacing/>
      </w:pPr>
      <w:r>
        <w:rPr>
          <w:b/>
        </w:rPr>
        <w:t xml:space="preserve">The application </w:t>
      </w:r>
      <w:r w:rsidR="00EA40D6">
        <w:rPr>
          <w:b/>
        </w:rPr>
        <w:t xml:space="preserve">should </w:t>
      </w:r>
      <w:r>
        <w:rPr>
          <w:b/>
        </w:rPr>
        <w:t>address each of the required elements listed in the preceding pages</w:t>
      </w:r>
      <w:r w:rsidR="007837FD">
        <w:rPr>
          <w:b/>
        </w:rPr>
        <w:t xml:space="preserve"> </w:t>
      </w:r>
      <w:r w:rsidR="00461C59">
        <w:rPr>
          <w:b/>
        </w:rPr>
        <w:t xml:space="preserve">of this section </w:t>
      </w:r>
      <w:r w:rsidR="007837FD">
        <w:rPr>
          <w:b/>
        </w:rPr>
        <w:t xml:space="preserve">and </w:t>
      </w:r>
      <w:r w:rsidR="003660B8">
        <w:rPr>
          <w:b/>
        </w:rPr>
        <w:t>follow the instructions listed above</w:t>
      </w:r>
      <w:r>
        <w:rPr>
          <w:b/>
        </w:rPr>
        <w:t>. Failure to do so may result in the application being disqualified</w:t>
      </w:r>
      <w:r w:rsidR="00660488">
        <w:rPr>
          <w:b/>
        </w:rPr>
        <w:t xml:space="preserve"> or receiving a </w:t>
      </w:r>
      <w:r w:rsidR="00B96FE7">
        <w:rPr>
          <w:b/>
        </w:rPr>
        <w:t>low score</w:t>
      </w:r>
      <w:r>
        <w:rPr>
          <w:b/>
        </w:rPr>
        <w:t>.</w:t>
      </w:r>
    </w:p>
    <w:p w14:paraId="7620EE96" w14:textId="77777777" w:rsidR="004064FD" w:rsidRDefault="004064FD">
      <w:pPr>
        <w:rPr>
          <w:rFonts w:eastAsiaTheme="majorEastAsia"/>
          <w:b/>
          <w:caps/>
          <w:spacing w:val="5"/>
          <w:sz w:val="28"/>
        </w:rPr>
      </w:pPr>
      <w:bookmarkStart w:id="50" w:name="_Hlk58333246"/>
      <w:r>
        <w:br w:type="page"/>
      </w:r>
    </w:p>
    <w:p w14:paraId="75D3ABD0" w14:textId="13BB8A3E" w:rsidR="003139DD" w:rsidRPr="00EE7081" w:rsidRDefault="003139DD" w:rsidP="00F71E24">
      <w:pPr>
        <w:pStyle w:val="Heading2"/>
      </w:pPr>
      <w:bookmarkStart w:id="51" w:name="_Toc128579628"/>
      <w:r w:rsidRPr="00EE7081">
        <w:lastRenderedPageBreak/>
        <w:t xml:space="preserve">Application </w:t>
      </w:r>
      <w:r w:rsidR="00A20BC5" w:rsidRPr="00EE7081">
        <w:t>Submission</w:t>
      </w:r>
      <w:bookmarkEnd w:id="50"/>
      <w:r w:rsidR="00A20BC5" w:rsidRPr="00EE7081">
        <w:t xml:space="preserve">, </w:t>
      </w:r>
      <w:r w:rsidRPr="00EE7081">
        <w:t>Review</w:t>
      </w:r>
      <w:r w:rsidR="00A20BC5" w:rsidRPr="00EE7081">
        <w:t>,</w:t>
      </w:r>
      <w:r w:rsidRPr="00EE7081">
        <w:t xml:space="preserve"> and Scoring</w:t>
      </w:r>
      <w:bookmarkEnd w:id="48"/>
      <w:bookmarkEnd w:id="51"/>
    </w:p>
    <w:p w14:paraId="54732F44" w14:textId="77777777" w:rsidR="003139DD" w:rsidRPr="00EE7081" w:rsidRDefault="003139DD" w:rsidP="00EA0734">
      <w:pPr>
        <w:keepLines/>
      </w:pPr>
      <w:bookmarkStart w:id="52" w:name="_Toc30575341"/>
    </w:p>
    <w:p w14:paraId="398ED859" w14:textId="7D0D36E6" w:rsidR="00516598" w:rsidRDefault="001E46DB" w:rsidP="00EA0734">
      <w:pPr>
        <w:keepLines/>
        <w:spacing w:after="120"/>
        <w:contextualSpacing/>
      </w:pPr>
      <w:r w:rsidRPr="00EE7081">
        <w:t>The completed application</w:t>
      </w:r>
      <w:r w:rsidR="00B96FE7">
        <w:t>, budget proposal</w:t>
      </w:r>
      <w:r w:rsidR="00864A0C">
        <w:t>,</w:t>
      </w:r>
      <w:r w:rsidRPr="00EE7081">
        <w:t xml:space="preserve"> </w:t>
      </w:r>
      <w:r w:rsidR="00335119" w:rsidRPr="00EE7081">
        <w:t xml:space="preserve">and </w:t>
      </w:r>
      <w:r w:rsidR="00B96FE7">
        <w:t>“</w:t>
      </w:r>
      <w:r w:rsidR="00864A0C">
        <w:t>d</w:t>
      </w:r>
      <w:r w:rsidR="00335119" w:rsidRPr="00EE7081">
        <w:t xml:space="preserve">emonstrated </w:t>
      </w:r>
      <w:r w:rsidR="00864A0C">
        <w:t>e</w:t>
      </w:r>
      <w:r w:rsidR="00335119" w:rsidRPr="00EE7081">
        <w:t>ffectiveness</w:t>
      </w:r>
      <w:r w:rsidR="00B96FE7">
        <w:t>”</w:t>
      </w:r>
      <w:r w:rsidR="00335119" w:rsidRPr="00EE7081">
        <w:t xml:space="preserve"> </w:t>
      </w:r>
      <w:r w:rsidR="00B96FE7">
        <w:t>data</w:t>
      </w:r>
      <w:r w:rsidR="00122C3C" w:rsidRPr="00EE7081">
        <w:t xml:space="preserve"> </w:t>
      </w:r>
      <w:r w:rsidRPr="00EE7081">
        <w:t>must be submitted via email to:</w:t>
      </w:r>
    </w:p>
    <w:p w14:paraId="5400E364" w14:textId="55DA7A33" w:rsidR="006A20C7" w:rsidRPr="00EE7081" w:rsidRDefault="001E46DB" w:rsidP="00EA0734">
      <w:pPr>
        <w:keepLines/>
        <w:spacing w:after="120"/>
        <w:contextualSpacing/>
      </w:pPr>
      <w:r w:rsidRPr="00EE7081">
        <w:t xml:space="preserve"> </w:t>
      </w:r>
    </w:p>
    <w:p w14:paraId="01D04C75" w14:textId="775BFB6C" w:rsidR="00DB2105" w:rsidRDefault="001E46DB" w:rsidP="00EA0734">
      <w:pPr>
        <w:keepLines/>
        <w:spacing w:after="120"/>
        <w:contextualSpacing/>
        <w:rPr>
          <w:b/>
          <w:color w:val="000000"/>
        </w:rPr>
      </w:pPr>
      <w:r w:rsidRPr="00EE7081">
        <w:rPr>
          <w:b/>
          <w:color w:val="000000"/>
        </w:rPr>
        <w:t>Jay Baker (</w:t>
      </w:r>
      <w:hyperlink r:id="rId37" w:history="1">
        <w:r w:rsidR="000C1897" w:rsidRPr="001D44D0">
          <w:rPr>
            <w:rStyle w:val="Hyperlink"/>
            <w:b/>
          </w:rPr>
          <w:t>Jay.Baker@tn.gov</w:t>
        </w:r>
      </w:hyperlink>
      <w:r w:rsidR="000C1897">
        <w:rPr>
          <w:b/>
        </w:rPr>
        <w:t>)</w:t>
      </w:r>
      <w:r w:rsidR="00542799">
        <w:rPr>
          <w:b/>
          <w:color w:val="000000"/>
        </w:rPr>
        <w:t>; Cc:</w:t>
      </w:r>
      <w:r w:rsidR="00DB2105">
        <w:rPr>
          <w:b/>
          <w:color w:val="000000"/>
        </w:rPr>
        <w:t xml:space="preserve"> Teresa Smith (</w:t>
      </w:r>
      <w:hyperlink r:id="rId38" w:history="1">
        <w:r w:rsidR="00DB2105" w:rsidRPr="008C16EF">
          <w:rPr>
            <w:rStyle w:val="Hyperlink"/>
            <w:b/>
          </w:rPr>
          <w:t>TL.Smith@tn.gov</w:t>
        </w:r>
      </w:hyperlink>
      <w:r w:rsidR="00DB2105">
        <w:rPr>
          <w:b/>
          <w:color w:val="000000"/>
        </w:rPr>
        <w:t>) and LaToya Newson (</w:t>
      </w:r>
      <w:hyperlink r:id="rId39" w:history="1">
        <w:r w:rsidR="00DB2105" w:rsidRPr="008C16EF">
          <w:rPr>
            <w:rStyle w:val="Hyperlink"/>
            <w:b/>
          </w:rPr>
          <w:t>LaToya.Newson@tn.gov</w:t>
        </w:r>
      </w:hyperlink>
      <w:r w:rsidR="00DB2105">
        <w:rPr>
          <w:b/>
          <w:color w:val="000000"/>
        </w:rPr>
        <w:t>)</w:t>
      </w:r>
      <w:r w:rsidR="00560A04">
        <w:rPr>
          <w:b/>
          <w:color w:val="000000"/>
        </w:rPr>
        <w:t xml:space="preserve">; </w:t>
      </w:r>
      <w:r w:rsidR="00560A04">
        <w:rPr>
          <w:b/>
          <w:color w:val="000000"/>
        </w:rPr>
        <w:t xml:space="preserve">and </w:t>
      </w:r>
      <w:hyperlink r:id="rId40" w:history="1">
        <w:r w:rsidR="00560A04" w:rsidRPr="001D44D0">
          <w:rPr>
            <w:rStyle w:val="Hyperlink"/>
            <w:b/>
          </w:rPr>
          <w:t>AdultEducation@tn.gov</w:t>
        </w:r>
      </w:hyperlink>
      <w:r w:rsidR="00560A04">
        <w:rPr>
          <w:b/>
          <w:color w:val="000000"/>
        </w:rPr>
        <w:t xml:space="preserve">  </w:t>
      </w:r>
      <w:r w:rsidR="00DB2105">
        <w:rPr>
          <w:b/>
          <w:color w:val="000000"/>
        </w:rPr>
        <w:t xml:space="preserve"> </w:t>
      </w:r>
    </w:p>
    <w:p w14:paraId="70F3CB21" w14:textId="77777777" w:rsidR="00047E69" w:rsidRDefault="00047E69" w:rsidP="00EA0734">
      <w:pPr>
        <w:keepLines/>
        <w:spacing w:after="120"/>
        <w:contextualSpacing/>
        <w:rPr>
          <w:b/>
          <w:color w:val="000000"/>
        </w:rPr>
      </w:pPr>
    </w:p>
    <w:p w14:paraId="3E3AC403" w14:textId="4F1E974C" w:rsidR="001E46DB" w:rsidRDefault="001E46DB" w:rsidP="00EA0734">
      <w:pPr>
        <w:keepLines/>
        <w:spacing w:after="120"/>
        <w:contextualSpacing/>
        <w:rPr>
          <w:b/>
          <w:bCs/>
          <w:color w:val="000000"/>
        </w:rPr>
      </w:pPr>
      <w:r w:rsidRPr="00EE7081">
        <w:rPr>
          <w:b/>
        </w:rPr>
        <w:t xml:space="preserve">Deadline: </w:t>
      </w:r>
      <w:r w:rsidR="009A5D2C">
        <w:rPr>
          <w:b/>
        </w:rPr>
        <w:t>April 6</w:t>
      </w:r>
      <w:r w:rsidR="00083B2E">
        <w:rPr>
          <w:b/>
        </w:rPr>
        <w:t>, 202</w:t>
      </w:r>
      <w:r w:rsidR="00047E69">
        <w:rPr>
          <w:b/>
        </w:rPr>
        <w:t>3</w:t>
      </w:r>
      <w:r w:rsidRPr="00EE7081">
        <w:rPr>
          <w:b/>
        </w:rPr>
        <w:t xml:space="preserve">, </w:t>
      </w:r>
      <w:r w:rsidR="005E5401">
        <w:rPr>
          <w:b/>
        </w:rPr>
        <w:t>5</w:t>
      </w:r>
      <w:r w:rsidRPr="00EE7081">
        <w:rPr>
          <w:b/>
        </w:rPr>
        <w:t>:00 PM Central Time.</w:t>
      </w:r>
      <w:r w:rsidRPr="00EE7081">
        <w:rPr>
          <w:b/>
          <w:bCs/>
          <w:color w:val="000000"/>
        </w:rPr>
        <w:t xml:space="preserve"> No late applications will be accepted.</w:t>
      </w:r>
    </w:p>
    <w:p w14:paraId="79DC2B74" w14:textId="77777777" w:rsidR="003031CB" w:rsidRPr="00EE7081" w:rsidRDefault="003031CB" w:rsidP="00EA0734">
      <w:pPr>
        <w:keepLines/>
        <w:spacing w:after="120"/>
        <w:contextualSpacing/>
        <w:rPr>
          <w:b/>
          <w:bCs/>
          <w:color w:val="000000"/>
        </w:rPr>
      </w:pPr>
    </w:p>
    <w:p w14:paraId="029C1F37" w14:textId="3B50F7AD" w:rsidR="001A1208" w:rsidRDefault="003139DD" w:rsidP="00EA0734">
      <w:pPr>
        <w:keepLines/>
      </w:pPr>
      <w:r w:rsidRPr="00EE7081">
        <w:t>Grant application</w:t>
      </w:r>
      <w:r w:rsidR="00C641EC" w:rsidRPr="00EE7081">
        <w:t>s will be reviewed and scored based on</w:t>
      </w:r>
      <w:r w:rsidRPr="00EE7081">
        <w:t xml:space="preserve"> </w:t>
      </w:r>
      <w:r w:rsidR="00C641EC" w:rsidRPr="00EE7081">
        <w:t>the</w:t>
      </w:r>
      <w:r w:rsidR="00FC2A97" w:rsidRPr="00EE7081">
        <w:t xml:space="preserve"> </w:t>
      </w:r>
      <w:r w:rsidR="000C6BB9">
        <w:t xml:space="preserve">scoring </w:t>
      </w:r>
      <w:r w:rsidR="00FC2A97" w:rsidRPr="00EE7081">
        <w:t xml:space="preserve">rubric </w:t>
      </w:r>
      <w:r w:rsidR="000C6BB9">
        <w:t>(s</w:t>
      </w:r>
      <w:r w:rsidR="001D6BCF">
        <w:t xml:space="preserve">ee Appendix C). </w:t>
      </w:r>
      <w:r w:rsidR="00087FC9">
        <w:t>Reviewers will also indicate whether they recommend each applicant for funding. Final a</w:t>
      </w:r>
      <w:r w:rsidRPr="00EE7081">
        <w:t xml:space="preserve">pplication scores will be calculated based on the average scores from each reviewer. </w:t>
      </w:r>
      <w:r w:rsidR="00087FC9" w:rsidRPr="00EE7081">
        <w:t>The applicant with the highest score</w:t>
      </w:r>
      <w:r w:rsidR="009B1893">
        <w:t xml:space="preserve"> for a given service area</w:t>
      </w:r>
      <w:r w:rsidR="00087FC9">
        <w:t>,</w:t>
      </w:r>
      <w:r w:rsidR="00087FC9" w:rsidRPr="00EE7081">
        <w:t xml:space="preserve"> </w:t>
      </w:r>
      <w:r w:rsidR="00087FC9">
        <w:t xml:space="preserve">and that is recommended for funding by </w:t>
      </w:r>
      <w:r w:rsidR="00D17255">
        <w:t>each of the</w:t>
      </w:r>
      <w:r w:rsidR="00087FC9">
        <w:t xml:space="preserve"> reviewers, </w:t>
      </w:r>
      <w:r w:rsidR="00087FC9" w:rsidRPr="00EE7081">
        <w:t xml:space="preserve">will be awarded </w:t>
      </w:r>
      <w:r w:rsidR="009B1893">
        <w:t>a</w:t>
      </w:r>
      <w:r w:rsidR="00087FC9" w:rsidRPr="00EE7081">
        <w:t xml:space="preserve"> grant</w:t>
      </w:r>
      <w:r w:rsidR="00087FC9">
        <w:t xml:space="preserve">. </w:t>
      </w:r>
    </w:p>
    <w:p w14:paraId="7C9E4DB2" w14:textId="77777777" w:rsidR="001A1208" w:rsidRDefault="001A1208" w:rsidP="00EA0734">
      <w:pPr>
        <w:keepLines/>
      </w:pPr>
    </w:p>
    <w:p w14:paraId="019E31CC" w14:textId="0BDE075B" w:rsidR="003139DD" w:rsidRPr="00EE7081" w:rsidRDefault="001A1208" w:rsidP="00EA0734">
      <w:pPr>
        <w:keepLines/>
      </w:pPr>
      <w:r>
        <w:rPr>
          <w:rFonts w:eastAsiaTheme="minorHAnsi"/>
        </w:rPr>
        <w:t xml:space="preserve">The reviewers’ determination to recommend or not recommend an applicant for funding is a safeguard to ensure that if the highest-scoring applicant has serious deficiencies, </w:t>
      </w:r>
      <w:r w:rsidR="00CA380C">
        <w:rPr>
          <w:rFonts w:eastAsiaTheme="minorHAnsi"/>
        </w:rPr>
        <w:t xml:space="preserve">TDLWD </w:t>
      </w:r>
      <w:r>
        <w:rPr>
          <w:rFonts w:eastAsiaTheme="minorHAnsi"/>
        </w:rPr>
        <w:t xml:space="preserve">is not obligated to award them the grant. </w:t>
      </w:r>
      <w:r w:rsidR="00087FC9">
        <w:t xml:space="preserve">If the highest-scoring applicant is not recommended for funding </w:t>
      </w:r>
      <w:r w:rsidR="0052450C">
        <w:t xml:space="preserve">by </w:t>
      </w:r>
      <w:r w:rsidR="00D17255">
        <w:t>the</w:t>
      </w:r>
      <w:r w:rsidR="00087FC9">
        <w:t xml:space="preserve"> reviewers, </w:t>
      </w:r>
      <w:r w:rsidR="00CA380C">
        <w:t xml:space="preserve">TDLWD </w:t>
      </w:r>
      <w:r w:rsidR="00087FC9">
        <w:t>reserves the right to deny the award to the applicant</w:t>
      </w:r>
      <w:r w:rsidR="00221A0A">
        <w:t>.</w:t>
      </w:r>
    </w:p>
    <w:p w14:paraId="7EFEC0F3" w14:textId="77777777" w:rsidR="003139DD" w:rsidRPr="00EE7081" w:rsidRDefault="003139DD" w:rsidP="00EA0734">
      <w:pPr>
        <w:keepLines/>
      </w:pPr>
    </w:p>
    <w:p w14:paraId="54E123E6" w14:textId="7D560A6A" w:rsidR="00902D70" w:rsidRPr="00CE3312" w:rsidRDefault="0014025D" w:rsidP="00A63537">
      <w:pPr>
        <w:keepLines/>
        <w:rPr>
          <w:bCs/>
        </w:rPr>
        <w:sectPr w:rsidR="00902D70" w:rsidRPr="00CE3312" w:rsidSect="001D1B0D">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720" w:footer="720" w:gutter="0"/>
          <w:cols w:space="720"/>
          <w:docGrid w:linePitch="360"/>
        </w:sectPr>
      </w:pPr>
      <w:r w:rsidRPr="0014025D">
        <w:rPr>
          <w:bCs/>
        </w:rPr>
        <w:t xml:space="preserve">By </w:t>
      </w:r>
      <w:r w:rsidR="00431C98">
        <w:rPr>
          <w:b/>
        </w:rPr>
        <w:t xml:space="preserve">May </w:t>
      </w:r>
      <w:r w:rsidR="0035477C">
        <w:rPr>
          <w:b/>
        </w:rPr>
        <w:t>12</w:t>
      </w:r>
      <w:r w:rsidR="00431C98">
        <w:rPr>
          <w:b/>
        </w:rPr>
        <w:t>, 2023,</w:t>
      </w:r>
      <w:r w:rsidRPr="00EE7081">
        <w:rPr>
          <w:b/>
        </w:rPr>
        <w:t xml:space="preserve"> </w:t>
      </w:r>
      <w:r w:rsidRPr="00EE7081">
        <w:rPr>
          <w:bCs/>
        </w:rPr>
        <w:t>T</w:t>
      </w:r>
      <w:r>
        <w:rPr>
          <w:bCs/>
        </w:rPr>
        <w:t>DLWD</w:t>
      </w:r>
      <w:r w:rsidRPr="00EE7081">
        <w:rPr>
          <w:bCs/>
        </w:rPr>
        <w:t xml:space="preserve"> will announce the awardees on its website</w:t>
      </w:r>
      <w:r w:rsidR="005977C2">
        <w:rPr>
          <w:bCs/>
        </w:rPr>
        <w:t xml:space="preserve"> (</w:t>
      </w:r>
      <w:hyperlink r:id="rId47" w:history="1">
        <w:r w:rsidR="005977C2" w:rsidRPr="006C45C7">
          <w:rPr>
            <w:rStyle w:val="Hyperlink"/>
            <w:b/>
            <w:bCs/>
          </w:rPr>
          <w:t>click here for link</w:t>
        </w:r>
      </w:hyperlink>
      <w:r w:rsidR="005977C2">
        <w:rPr>
          <w:bCs/>
        </w:rPr>
        <w:t xml:space="preserve">). </w:t>
      </w:r>
      <w:r w:rsidR="001F7F9C">
        <w:t xml:space="preserve">TDLWD </w:t>
      </w:r>
      <w:r w:rsidR="003139DD" w:rsidRPr="00EE7081">
        <w:t xml:space="preserve">will </w:t>
      </w:r>
      <w:r w:rsidR="00477B5F">
        <w:t>also email</w:t>
      </w:r>
      <w:r>
        <w:t xml:space="preserve"> each applicant </w:t>
      </w:r>
      <w:r w:rsidR="00477B5F">
        <w:t xml:space="preserve">to </w:t>
      </w:r>
      <w:r w:rsidR="004C3FC6">
        <w:t xml:space="preserve">inform them of </w:t>
      </w:r>
      <w:proofErr w:type="gramStart"/>
      <w:r w:rsidR="004C3FC6">
        <w:t>whether or not</w:t>
      </w:r>
      <w:proofErr w:type="gramEnd"/>
      <w:r w:rsidR="004C3FC6">
        <w:t xml:space="preserve"> they were awarded </w:t>
      </w:r>
      <w:r w:rsidR="00BE3257">
        <w:t>a grant.</w:t>
      </w:r>
      <w:bookmarkEnd w:id="52"/>
    </w:p>
    <w:p w14:paraId="0E745423" w14:textId="78538BE7" w:rsidR="00CE64B0" w:rsidRDefault="00CE64B0" w:rsidP="00CE64B0">
      <w:pPr>
        <w:pStyle w:val="Heading1"/>
        <w:keepNext w:val="0"/>
        <w:keepLines/>
        <w:rPr>
          <w:rFonts w:ascii="Open Sans" w:eastAsia="Calibri" w:hAnsi="Open Sans"/>
        </w:rPr>
      </w:pPr>
      <w:bookmarkStart w:id="53" w:name="_Hlk127863361"/>
      <w:bookmarkStart w:id="54" w:name="_Toc128579629"/>
      <w:r w:rsidRPr="00EE7081">
        <w:rPr>
          <w:rFonts w:ascii="Open Sans" w:eastAsia="Calibri" w:hAnsi="Open Sans"/>
        </w:rPr>
        <w:lastRenderedPageBreak/>
        <w:t>Appendix</w:t>
      </w:r>
      <w:r>
        <w:rPr>
          <w:rFonts w:ascii="Open Sans" w:eastAsia="Calibri" w:hAnsi="Open Sans"/>
        </w:rPr>
        <w:t xml:space="preserve"> A: Demonstrated Effectiveness</w:t>
      </w:r>
      <w:bookmarkEnd w:id="53"/>
      <w:bookmarkEnd w:id="54"/>
    </w:p>
    <w:p w14:paraId="2B723F79" w14:textId="77777777" w:rsidR="00CE64B0" w:rsidRPr="00EE7081" w:rsidRDefault="00CE64B0" w:rsidP="00CE64B0">
      <w:pPr>
        <w:keepLines/>
      </w:pPr>
    </w:p>
    <w:p w14:paraId="58F9D355" w14:textId="77777777" w:rsidR="00CE64B0" w:rsidRDefault="00CE64B0" w:rsidP="00CE64B0">
      <w:pPr>
        <w:keepLines/>
        <w:spacing w:after="120"/>
        <w:contextualSpacing/>
      </w:pPr>
      <w:r w:rsidRPr="00EE7081">
        <w:t>To be considered an eligible provider, an applicant must establish their “demonstrated effectiveness” in providing adult education services.</w:t>
      </w:r>
      <w:r>
        <w:t xml:space="preserve"> A</w:t>
      </w:r>
      <w:r w:rsidRPr="00837332">
        <w:t>n eligible provider must demonstrate past effectiveness by providing performance data on its record of improving the skills of eligible individuals, particularly eligible individuals who have low levels of literacy, in the content domains of reading, writing, mathematics,</w:t>
      </w:r>
      <w:r>
        <w:t xml:space="preserve"> and</w:t>
      </w:r>
      <w:r w:rsidRPr="00837332">
        <w:t xml:space="preserve"> English language acquisition. An eligible provider must also provide information regarding its outcomes for participants related to employment, attainment of </w:t>
      </w:r>
      <w:r>
        <w:t>high</w:t>
      </w:r>
      <w:r w:rsidRPr="00837332">
        <w:t xml:space="preserve"> school diploma or equivalen</w:t>
      </w:r>
      <w:r>
        <w:t>cy</w:t>
      </w:r>
      <w:r w:rsidRPr="00837332">
        <w:t>, and transition to postsecondary education and training.</w:t>
      </w:r>
      <w:r w:rsidRPr="00EE7081">
        <w:rPr>
          <w:rStyle w:val="FootnoteReference"/>
          <w:bCs/>
        </w:rPr>
        <w:footnoteReference w:id="46"/>
      </w:r>
    </w:p>
    <w:p w14:paraId="3FC699B8" w14:textId="77777777" w:rsidR="00C9728D" w:rsidRDefault="00C9728D" w:rsidP="00D520CE">
      <w:pPr>
        <w:pStyle w:val="Heading3"/>
      </w:pPr>
    </w:p>
    <w:p w14:paraId="5EC0AE93" w14:textId="0162A0FC" w:rsidR="00D520CE" w:rsidRDefault="00D520CE" w:rsidP="00D520CE">
      <w:pPr>
        <w:pStyle w:val="Heading3"/>
      </w:pPr>
      <w:r>
        <w:t>Process</w:t>
      </w:r>
    </w:p>
    <w:p w14:paraId="214973AE" w14:textId="77777777" w:rsidR="00CA3C7C" w:rsidRPr="00CA3C7C" w:rsidRDefault="00CA3C7C" w:rsidP="00CA3C7C"/>
    <w:p w14:paraId="1B28C03D" w14:textId="589D412A" w:rsidR="00950D57" w:rsidRDefault="006F43AA" w:rsidP="00DB4828">
      <w:pPr>
        <w:keepLines/>
        <w:contextualSpacing/>
      </w:pPr>
      <w:r>
        <w:t xml:space="preserve">Prior to an application being reviewed and scored, </w:t>
      </w:r>
      <w:r w:rsidR="00DE413E">
        <w:t xml:space="preserve">TDLWD must </w:t>
      </w:r>
      <w:r w:rsidR="003C78A4">
        <w:t>evaluate</w:t>
      </w:r>
      <w:r w:rsidR="003101BE">
        <w:t xml:space="preserve"> app</w:t>
      </w:r>
      <w:r w:rsidR="00467514">
        <w:t>licants for their demonstrated eff</w:t>
      </w:r>
      <w:r w:rsidR="009C19B0">
        <w:t xml:space="preserve">ectiveness. </w:t>
      </w:r>
      <w:r w:rsidR="00BA542D">
        <w:t>Applicants who d</w:t>
      </w:r>
      <w:r w:rsidR="007B7C9D">
        <w:t xml:space="preserve">o not </w:t>
      </w:r>
      <w:r w:rsidR="007E2CD4">
        <w:t xml:space="preserve">establish demonstrated effectiveness will not </w:t>
      </w:r>
      <w:r w:rsidR="00950D57">
        <w:t>have their applications reviewed, scored, or considered for funding.</w:t>
      </w:r>
      <w:r w:rsidR="00FC0E26">
        <w:t xml:space="preserve"> </w:t>
      </w:r>
    </w:p>
    <w:p w14:paraId="59F66BCA" w14:textId="77777777" w:rsidR="00950D57" w:rsidRDefault="00950D57" w:rsidP="00DB4828">
      <w:pPr>
        <w:keepLines/>
        <w:contextualSpacing/>
      </w:pPr>
    </w:p>
    <w:p w14:paraId="34EF5E1A" w14:textId="515302D2" w:rsidR="00EF69AB" w:rsidRDefault="00DB4828" w:rsidP="00973B41">
      <w:pPr>
        <w:keepLines/>
        <w:contextualSpacing/>
      </w:pPr>
      <w:r w:rsidRPr="00EF69AB">
        <w:t xml:space="preserve">Applicants </w:t>
      </w:r>
      <w:r w:rsidR="00F26174" w:rsidRPr="00EF69AB">
        <w:t xml:space="preserve">must submit </w:t>
      </w:r>
      <w:r w:rsidR="00973B41">
        <w:t xml:space="preserve">“demonstrated effectiveness” </w:t>
      </w:r>
      <w:r w:rsidR="00C7136E" w:rsidRPr="00EF69AB">
        <w:t>data</w:t>
      </w:r>
      <w:r w:rsidR="00912579">
        <w:t xml:space="preserve"> </w:t>
      </w:r>
      <w:r w:rsidR="00912579" w:rsidRPr="00EF69AB">
        <w:t>to TDLWD</w:t>
      </w:r>
      <w:r w:rsidR="00C7136E" w:rsidRPr="00EF69AB">
        <w:t xml:space="preserve"> </w:t>
      </w:r>
      <w:r w:rsidR="00EF69AB" w:rsidRPr="00EF69AB">
        <w:t>in one of two ways:</w:t>
      </w:r>
    </w:p>
    <w:p w14:paraId="55B224BA" w14:textId="77777777" w:rsidR="00CB15CE" w:rsidRPr="00EF69AB" w:rsidRDefault="00CB15CE" w:rsidP="00973B41">
      <w:pPr>
        <w:keepLines/>
        <w:contextualSpacing/>
      </w:pPr>
    </w:p>
    <w:p w14:paraId="60612EBB" w14:textId="77777777" w:rsidR="00973B41" w:rsidRDefault="0003005A" w:rsidP="00D90CF9">
      <w:pPr>
        <w:pStyle w:val="ListParagraph"/>
        <w:keepLines/>
        <w:numPr>
          <w:ilvl w:val="6"/>
          <w:numId w:val="24"/>
        </w:numPr>
        <w:spacing w:line="240" w:lineRule="auto"/>
        <w:ind w:left="720"/>
        <w:rPr>
          <w:rFonts w:ascii="Open Sans" w:hAnsi="Open Sans"/>
        </w:rPr>
      </w:pPr>
      <w:r>
        <w:rPr>
          <w:rFonts w:ascii="Open Sans" w:eastAsiaTheme="minorHAnsi" w:hAnsi="Open Sans"/>
        </w:rPr>
        <w:t xml:space="preserve">Prior to </w:t>
      </w:r>
      <w:r w:rsidR="005B4EE4">
        <w:rPr>
          <w:rFonts w:ascii="Open Sans" w:eastAsiaTheme="minorHAnsi" w:hAnsi="Open Sans"/>
        </w:rPr>
        <w:t xml:space="preserve">submitting the application, sending </w:t>
      </w:r>
      <w:r w:rsidR="00C049CD">
        <w:rPr>
          <w:rFonts w:ascii="Open Sans" w:eastAsiaTheme="minorHAnsi" w:hAnsi="Open Sans"/>
        </w:rPr>
        <w:t xml:space="preserve">“demonstrated effectiveness” </w:t>
      </w:r>
      <w:r w:rsidR="006A457E">
        <w:rPr>
          <w:rFonts w:ascii="Open Sans" w:eastAsiaTheme="minorHAnsi" w:hAnsi="Open Sans"/>
        </w:rPr>
        <w:t>data v</w:t>
      </w:r>
      <w:r w:rsidR="006F43AA">
        <w:rPr>
          <w:rFonts w:ascii="Open Sans" w:eastAsiaTheme="minorHAnsi" w:hAnsi="Open Sans"/>
        </w:rPr>
        <w:t xml:space="preserve">ia an email </w:t>
      </w:r>
      <w:r w:rsidR="00EF69AB" w:rsidRPr="00EF69AB">
        <w:rPr>
          <w:rFonts w:ascii="Open Sans" w:eastAsiaTheme="minorHAnsi" w:hAnsi="Open Sans"/>
        </w:rPr>
        <w:t xml:space="preserve">to </w:t>
      </w:r>
      <w:hyperlink r:id="rId48" w:history="1">
        <w:r w:rsidR="00EF69AB" w:rsidRPr="00EF69AB">
          <w:rPr>
            <w:rStyle w:val="Hyperlink"/>
            <w:rFonts w:ascii="Open Sans" w:hAnsi="Open Sans"/>
          </w:rPr>
          <w:t>Jay.Baker@tn.gov</w:t>
        </w:r>
      </w:hyperlink>
      <w:r w:rsidR="00EF69AB" w:rsidRPr="00EF69AB">
        <w:rPr>
          <w:rFonts w:ascii="Open Sans" w:eastAsiaTheme="minorHAnsi" w:hAnsi="Open Sans"/>
        </w:rPr>
        <w:t xml:space="preserve">; Cc: </w:t>
      </w:r>
      <w:hyperlink r:id="rId49" w:history="1">
        <w:r w:rsidR="00EF69AB" w:rsidRPr="00EF69AB">
          <w:rPr>
            <w:rStyle w:val="Hyperlink"/>
            <w:rFonts w:ascii="Open Sans" w:hAnsi="Open Sans"/>
          </w:rPr>
          <w:t>TL.Smith@tn.gov</w:t>
        </w:r>
      </w:hyperlink>
      <w:r w:rsidR="00EF69AB" w:rsidRPr="00EF69AB">
        <w:rPr>
          <w:rFonts w:ascii="Open Sans" w:hAnsi="Open Sans"/>
        </w:rPr>
        <w:t xml:space="preserve"> and </w:t>
      </w:r>
      <w:hyperlink r:id="rId50" w:history="1">
        <w:r w:rsidR="00C07DCF" w:rsidRPr="002A6413">
          <w:rPr>
            <w:rStyle w:val="Hyperlink"/>
            <w:rFonts w:ascii="Open Sans" w:hAnsi="Open Sans"/>
          </w:rPr>
          <w:t>LaToya.Newson@tn.gov</w:t>
        </w:r>
      </w:hyperlink>
      <w:r w:rsidR="00C07DCF">
        <w:rPr>
          <w:rFonts w:ascii="Open Sans" w:hAnsi="Open Sans"/>
        </w:rPr>
        <w:t xml:space="preserve">. </w:t>
      </w:r>
      <w:r w:rsidR="00923AD7">
        <w:rPr>
          <w:rFonts w:ascii="Open Sans" w:hAnsi="Open Sans"/>
        </w:rPr>
        <w:t>T</w:t>
      </w:r>
      <w:r w:rsidR="00923AD7" w:rsidRPr="00923AD7">
        <w:rPr>
          <w:rFonts w:ascii="Open Sans" w:hAnsi="Open Sans"/>
        </w:rPr>
        <w:t>his allows TDLWD to determine the applicant’s eligibility for the grant</w:t>
      </w:r>
      <w:r w:rsidR="00C71635">
        <w:rPr>
          <w:rFonts w:ascii="Open Sans" w:hAnsi="Open Sans"/>
        </w:rPr>
        <w:t xml:space="preserve"> in advance</w:t>
      </w:r>
      <w:r w:rsidR="00B70CAC">
        <w:rPr>
          <w:rFonts w:ascii="Open Sans" w:hAnsi="Open Sans"/>
        </w:rPr>
        <w:t>,</w:t>
      </w:r>
      <w:r w:rsidR="00923AD7" w:rsidRPr="00923AD7">
        <w:rPr>
          <w:rFonts w:ascii="Open Sans" w:hAnsi="Open Sans"/>
        </w:rPr>
        <w:t xml:space="preserve"> and potentially prevent an ineligible applicant from writing an application.</w:t>
      </w:r>
    </w:p>
    <w:p w14:paraId="47A59B7F" w14:textId="77777777" w:rsidR="00973B41" w:rsidRDefault="00973B41" w:rsidP="00973B41">
      <w:pPr>
        <w:pStyle w:val="ListParagraph"/>
        <w:keepLines/>
        <w:spacing w:line="240" w:lineRule="auto"/>
        <w:rPr>
          <w:rFonts w:ascii="Open Sans" w:hAnsi="Open Sans"/>
        </w:rPr>
      </w:pPr>
    </w:p>
    <w:p w14:paraId="284ECF7C" w14:textId="00BE6592" w:rsidR="0006262D" w:rsidRDefault="00501515" w:rsidP="00D90CF9">
      <w:pPr>
        <w:pStyle w:val="ListParagraph"/>
        <w:keepLines/>
        <w:numPr>
          <w:ilvl w:val="6"/>
          <w:numId w:val="24"/>
        </w:numPr>
        <w:spacing w:after="0" w:line="240" w:lineRule="auto"/>
        <w:ind w:left="720"/>
        <w:contextualSpacing w:val="0"/>
      </w:pPr>
      <w:r w:rsidRPr="0006262D">
        <w:rPr>
          <w:rFonts w:ascii="Open Sans" w:hAnsi="Open Sans"/>
        </w:rPr>
        <w:t>S</w:t>
      </w:r>
      <w:r w:rsidR="00AA338C" w:rsidRPr="0006262D">
        <w:rPr>
          <w:rFonts w:ascii="Open Sans" w:hAnsi="Open Sans"/>
        </w:rPr>
        <w:t>ending</w:t>
      </w:r>
      <w:r w:rsidR="004F2BA9" w:rsidRPr="0006262D">
        <w:rPr>
          <w:rFonts w:ascii="Open Sans" w:hAnsi="Open Sans"/>
        </w:rPr>
        <w:t xml:space="preserve"> </w:t>
      </w:r>
      <w:r w:rsidR="00707F7A" w:rsidRPr="0006262D">
        <w:rPr>
          <w:rFonts w:ascii="Open Sans" w:hAnsi="Open Sans"/>
        </w:rPr>
        <w:t>“demonstrated effectiveness” data as a separate attac</w:t>
      </w:r>
      <w:r w:rsidR="00AA338C" w:rsidRPr="0006262D">
        <w:rPr>
          <w:rFonts w:ascii="Open Sans" w:hAnsi="Open Sans"/>
        </w:rPr>
        <w:t xml:space="preserve">hment </w:t>
      </w:r>
      <w:r w:rsidR="00973B41" w:rsidRPr="0006262D">
        <w:rPr>
          <w:rFonts w:ascii="Open Sans" w:hAnsi="Open Sans"/>
        </w:rPr>
        <w:t>with</w:t>
      </w:r>
      <w:r w:rsidR="00AA338C" w:rsidRPr="0006262D">
        <w:rPr>
          <w:rFonts w:ascii="Open Sans" w:hAnsi="Open Sans"/>
        </w:rPr>
        <w:t xml:space="preserve">in the </w:t>
      </w:r>
      <w:r w:rsidRPr="0006262D">
        <w:rPr>
          <w:rFonts w:ascii="Open Sans" w:hAnsi="Open Sans"/>
        </w:rPr>
        <w:t xml:space="preserve">application </w:t>
      </w:r>
      <w:r w:rsidR="008C4D07" w:rsidRPr="0006262D">
        <w:rPr>
          <w:rFonts w:ascii="Open Sans" w:hAnsi="Open Sans"/>
        </w:rPr>
        <w:t>submi</w:t>
      </w:r>
      <w:r w:rsidR="00895742" w:rsidRPr="0006262D">
        <w:rPr>
          <w:rFonts w:ascii="Open Sans" w:hAnsi="Open Sans"/>
        </w:rPr>
        <w:t>ssion email.</w:t>
      </w:r>
    </w:p>
    <w:p w14:paraId="16D32168" w14:textId="77777777" w:rsidR="0006262D" w:rsidRDefault="0006262D" w:rsidP="0006262D">
      <w:pPr>
        <w:keepLines/>
      </w:pPr>
    </w:p>
    <w:p w14:paraId="67E937D0" w14:textId="006B26FA" w:rsidR="002A180B" w:rsidRPr="00C777CC" w:rsidRDefault="002A180B" w:rsidP="002A180B">
      <w:pPr>
        <w:keepLines/>
        <w:contextualSpacing/>
        <w:rPr>
          <w:b/>
        </w:rPr>
      </w:pPr>
      <w:r w:rsidRPr="00C777CC">
        <w:rPr>
          <w:b/>
        </w:rPr>
        <w:t xml:space="preserve">Failure to </w:t>
      </w:r>
      <w:r>
        <w:rPr>
          <w:b/>
        </w:rPr>
        <w:t xml:space="preserve">submit </w:t>
      </w:r>
      <w:r w:rsidRPr="00C777CC">
        <w:rPr>
          <w:b/>
        </w:rPr>
        <w:t>“</w:t>
      </w:r>
      <w:r>
        <w:rPr>
          <w:b/>
        </w:rPr>
        <w:t>d</w:t>
      </w:r>
      <w:r w:rsidRPr="00C777CC">
        <w:rPr>
          <w:b/>
        </w:rPr>
        <w:t xml:space="preserve">emonstrated </w:t>
      </w:r>
      <w:r>
        <w:rPr>
          <w:b/>
        </w:rPr>
        <w:t>e</w:t>
      </w:r>
      <w:r w:rsidRPr="00C777CC">
        <w:rPr>
          <w:b/>
        </w:rPr>
        <w:t xml:space="preserve">ffectiveness” </w:t>
      </w:r>
      <w:r>
        <w:rPr>
          <w:b/>
        </w:rPr>
        <w:t xml:space="preserve">data </w:t>
      </w:r>
      <w:r w:rsidRPr="00C777CC">
        <w:rPr>
          <w:b/>
        </w:rPr>
        <w:t>will result in the applicant being disqualified.</w:t>
      </w:r>
    </w:p>
    <w:p w14:paraId="4D0F8835" w14:textId="77777777" w:rsidR="002A180B" w:rsidRDefault="002A180B" w:rsidP="00D520CE">
      <w:pPr>
        <w:pStyle w:val="Heading3"/>
      </w:pPr>
    </w:p>
    <w:p w14:paraId="55967A92" w14:textId="07E3E687" w:rsidR="00D520CE" w:rsidRDefault="00D520CE" w:rsidP="00D520CE">
      <w:pPr>
        <w:pStyle w:val="Heading3"/>
      </w:pPr>
      <w:r>
        <w:t>Data to Submit</w:t>
      </w:r>
    </w:p>
    <w:p w14:paraId="64D157FC" w14:textId="77777777" w:rsidR="00CA3C7C" w:rsidRPr="00CA3C7C" w:rsidRDefault="00CA3C7C" w:rsidP="00CA3C7C"/>
    <w:p w14:paraId="11FC9DE1" w14:textId="4EA5F8EF" w:rsidR="00C52FF9" w:rsidRDefault="006543E9" w:rsidP="00C52FF9">
      <w:pPr>
        <w:keepLines/>
        <w:contextualSpacing/>
        <w:rPr>
          <w:lang w:eastAsia="x-none"/>
        </w:rPr>
      </w:pPr>
      <w:r w:rsidRPr="0035709C">
        <w:rPr>
          <w:lang w:eastAsia="x-none"/>
        </w:rPr>
        <w:t xml:space="preserve">An </w:t>
      </w:r>
      <w:r w:rsidR="0074329E">
        <w:rPr>
          <w:lang w:eastAsia="x-none"/>
        </w:rPr>
        <w:t>agency</w:t>
      </w:r>
      <w:r w:rsidRPr="0035709C">
        <w:rPr>
          <w:lang w:eastAsia="x-none"/>
        </w:rPr>
        <w:t xml:space="preserve"> that has been previously funded by TDLWD under AEFLA (since 2016) must provide</w:t>
      </w:r>
      <w:r w:rsidR="00CA085D">
        <w:rPr>
          <w:lang w:eastAsia="x-none"/>
        </w:rPr>
        <w:t xml:space="preserve"> their two (2) most recent years of data</w:t>
      </w:r>
      <w:r w:rsidR="003B7335">
        <w:rPr>
          <w:lang w:eastAsia="x-none"/>
        </w:rPr>
        <w:t xml:space="preserve"> </w:t>
      </w:r>
      <w:r w:rsidR="008C27EE">
        <w:rPr>
          <w:lang w:eastAsia="x-none"/>
        </w:rPr>
        <w:t>from Jobs4TN</w:t>
      </w:r>
      <w:r w:rsidR="00331E46">
        <w:rPr>
          <w:lang w:eastAsia="x-none"/>
        </w:rPr>
        <w:t xml:space="preserve">—specifically, </w:t>
      </w:r>
      <w:r w:rsidR="00BC7E0F">
        <w:rPr>
          <w:lang w:eastAsia="x-none"/>
        </w:rPr>
        <w:t>F</w:t>
      </w:r>
      <w:r w:rsidR="00C5560B" w:rsidRPr="0035709C">
        <w:rPr>
          <w:lang w:eastAsia="x-none"/>
        </w:rPr>
        <w:t>ederal reports</w:t>
      </w:r>
      <w:r w:rsidR="00C52FF9">
        <w:rPr>
          <w:lang w:eastAsia="x-none"/>
        </w:rPr>
        <w:t xml:space="preserve"> “</w:t>
      </w:r>
      <w:r w:rsidR="00C5560B" w:rsidRPr="0035709C">
        <w:rPr>
          <w:lang w:eastAsia="x-none"/>
        </w:rPr>
        <w:t>Table 4</w:t>
      </w:r>
      <w:r w:rsidR="00C52FF9">
        <w:rPr>
          <w:lang w:eastAsia="x-none"/>
        </w:rPr>
        <w:t>”</w:t>
      </w:r>
      <w:r w:rsidR="00C5560B" w:rsidRPr="0035709C">
        <w:rPr>
          <w:lang w:eastAsia="x-none"/>
        </w:rPr>
        <w:t xml:space="preserve"> and </w:t>
      </w:r>
      <w:r w:rsidR="00C52FF9">
        <w:rPr>
          <w:lang w:eastAsia="x-none"/>
        </w:rPr>
        <w:t>“</w:t>
      </w:r>
      <w:r w:rsidR="00C5560B" w:rsidRPr="0035709C">
        <w:rPr>
          <w:lang w:eastAsia="x-none"/>
        </w:rPr>
        <w:t>Table 5</w:t>
      </w:r>
      <w:r w:rsidR="00C52FF9">
        <w:rPr>
          <w:lang w:eastAsia="x-none"/>
        </w:rPr>
        <w:t>”</w:t>
      </w:r>
      <w:r w:rsidR="005876B0" w:rsidRPr="0035709C">
        <w:rPr>
          <w:lang w:eastAsia="x-none"/>
        </w:rPr>
        <w:t>.</w:t>
      </w:r>
      <w:r w:rsidR="00C5560B" w:rsidRPr="0035709C">
        <w:rPr>
          <w:lang w:eastAsia="x-none"/>
        </w:rPr>
        <w:t xml:space="preserve"> </w:t>
      </w:r>
    </w:p>
    <w:p w14:paraId="038DA1FA" w14:textId="77777777" w:rsidR="00C52FF9" w:rsidRDefault="00C52FF9" w:rsidP="00C52FF9">
      <w:pPr>
        <w:keepLines/>
        <w:contextualSpacing/>
        <w:rPr>
          <w:lang w:eastAsia="x-none"/>
        </w:rPr>
      </w:pPr>
    </w:p>
    <w:p w14:paraId="703E9587" w14:textId="4988E59C" w:rsidR="00FF3238" w:rsidRDefault="006543E9" w:rsidP="00045139">
      <w:pPr>
        <w:keepLines/>
        <w:contextualSpacing/>
        <w:rPr>
          <w:b/>
          <w:bCs/>
          <w:lang w:eastAsia="x-none"/>
        </w:rPr>
      </w:pPr>
      <w:r w:rsidRPr="00BD3301">
        <w:rPr>
          <w:lang w:eastAsia="x-none"/>
        </w:rPr>
        <w:lastRenderedPageBreak/>
        <w:t xml:space="preserve">An </w:t>
      </w:r>
      <w:r w:rsidR="006F1AD1">
        <w:rPr>
          <w:lang w:eastAsia="x-none"/>
        </w:rPr>
        <w:t>agency</w:t>
      </w:r>
      <w:r w:rsidRPr="00BD3301">
        <w:rPr>
          <w:lang w:eastAsia="x-none"/>
        </w:rPr>
        <w:t xml:space="preserve"> that has </w:t>
      </w:r>
      <w:r w:rsidRPr="00541120">
        <w:rPr>
          <w:i/>
          <w:iCs/>
          <w:lang w:eastAsia="x-none"/>
        </w:rPr>
        <w:t>not</w:t>
      </w:r>
      <w:r w:rsidRPr="00BD3301">
        <w:rPr>
          <w:lang w:eastAsia="x-none"/>
        </w:rPr>
        <w:t xml:space="preserve"> been previously funded by </w:t>
      </w:r>
      <w:r w:rsidR="003065CF" w:rsidRPr="00BD3301">
        <w:rPr>
          <w:lang w:eastAsia="x-none"/>
        </w:rPr>
        <w:t xml:space="preserve">TDLWD </w:t>
      </w:r>
      <w:r w:rsidRPr="00BD3301">
        <w:rPr>
          <w:lang w:eastAsia="x-none"/>
        </w:rPr>
        <w:t>under AEFLA (since 2016) must provide performance data to demonstrate its past effectiveness in serving basic skills deficient eligible individuals, including evidence of its success in achieving the outcomes listed above.</w:t>
      </w:r>
      <w:r w:rsidR="00593AF7" w:rsidRPr="00BD3301">
        <w:rPr>
          <w:lang w:eastAsia="x-none"/>
        </w:rPr>
        <w:t xml:space="preserve"> Such applicants must</w:t>
      </w:r>
      <w:r w:rsidR="004B2D18" w:rsidRPr="00BD3301">
        <w:rPr>
          <w:lang w:eastAsia="x-none"/>
        </w:rPr>
        <w:t xml:space="preserve"> </w:t>
      </w:r>
      <w:r w:rsidR="00C52FF9" w:rsidRPr="0035709C">
        <w:rPr>
          <w:lang w:eastAsia="x-none"/>
        </w:rPr>
        <w:t>provide</w:t>
      </w:r>
      <w:r w:rsidR="00C52FF9">
        <w:rPr>
          <w:lang w:eastAsia="x-none"/>
        </w:rPr>
        <w:t xml:space="preserve"> their two (2) most recent years of data</w:t>
      </w:r>
      <w:r w:rsidR="00CE64B0" w:rsidRPr="00BD3301">
        <w:rPr>
          <w:lang w:eastAsia="x-none"/>
        </w:rPr>
        <w:t xml:space="preserve"> by completing the</w:t>
      </w:r>
      <w:r w:rsidR="00053BF2">
        <w:rPr>
          <w:lang w:eastAsia="x-none"/>
        </w:rPr>
        <w:t xml:space="preserve"> following</w:t>
      </w:r>
      <w:r w:rsidR="005344A7">
        <w:rPr>
          <w:lang w:eastAsia="x-none"/>
        </w:rPr>
        <w:t xml:space="preserve"> </w:t>
      </w:r>
      <w:r w:rsidR="00BC245C">
        <w:rPr>
          <w:lang w:eastAsia="x-none"/>
        </w:rPr>
        <w:t>“d</w:t>
      </w:r>
      <w:r w:rsidR="00E13A48">
        <w:rPr>
          <w:lang w:eastAsia="x-none"/>
        </w:rPr>
        <w:t>e</w:t>
      </w:r>
      <w:r w:rsidR="00C70D93">
        <w:rPr>
          <w:lang w:eastAsia="x-none"/>
        </w:rPr>
        <w:t xml:space="preserve">monstrated effectiveness” </w:t>
      </w:r>
      <w:r w:rsidR="005344A7">
        <w:rPr>
          <w:lang w:eastAsia="x-none"/>
        </w:rPr>
        <w:t>table</w:t>
      </w:r>
      <w:r w:rsidR="00567CC0">
        <w:rPr>
          <w:lang w:eastAsia="x-none"/>
        </w:rPr>
        <w:t>s</w:t>
      </w:r>
      <w:r w:rsidR="00053BF2">
        <w:rPr>
          <w:lang w:eastAsia="x-none"/>
        </w:rPr>
        <w:t xml:space="preserve"> (</w:t>
      </w:r>
      <w:r w:rsidR="00D64143">
        <w:rPr>
          <w:lang w:eastAsia="x-none"/>
        </w:rPr>
        <w:t>please copy-paste into a new document)</w:t>
      </w:r>
      <w:r w:rsidR="00C70D93">
        <w:rPr>
          <w:lang w:eastAsia="x-none"/>
        </w:rPr>
        <w:t>:</w:t>
      </w:r>
    </w:p>
    <w:p w14:paraId="07CE517D" w14:textId="77777777" w:rsidR="009B63E7" w:rsidRDefault="009B63E7" w:rsidP="009B63E7">
      <w:bookmarkStart w:id="55" w:name="_Hlk127270314"/>
    </w:p>
    <w:p w14:paraId="5669398F" w14:textId="77777777" w:rsidR="009B63E7" w:rsidRPr="00E808C1" w:rsidRDefault="009B63E7" w:rsidP="009B63E7">
      <w:pPr>
        <w:spacing w:after="120"/>
        <w:jc w:val="center"/>
        <w:rPr>
          <w:b/>
          <w:bCs/>
        </w:rPr>
      </w:pPr>
      <w:r w:rsidRPr="00E808C1">
        <w:rPr>
          <w:b/>
          <w:bCs/>
        </w:rPr>
        <w:t>Content Domains Table</w:t>
      </w:r>
    </w:p>
    <w:tbl>
      <w:tblPr>
        <w:tblStyle w:val="TableGrid"/>
        <w:tblW w:w="11340" w:type="dxa"/>
        <w:tblInd w:w="-990" w:type="dxa"/>
        <w:tblLayout w:type="fixed"/>
        <w:tblLook w:val="04A0" w:firstRow="1" w:lastRow="0" w:firstColumn="1" w:lastColumn="0" w:noHBand="0" w:noVBand="1"/>
      </w:tblPr>
      <w:tblGrid>
        <w:gridCol w:w="1440"/>
        <w:gridCol w:w="3300"/>
        <w:gridCol w:w="3300"/>
        <w:gridCol w:w="3300"/>
      </w:tblGrid>
      <w:tr w:rsidR="00D61D85" w14:paraId="2F5060C5" w14:textId="77777777" w:rsidTr="00BB5BA6">
        <w:trPr>
          <w:trHeight w:val="575"/>
        </w:trPr>
        <w:tc>
          <w:tcPr>
            <w:tcW w:w="1440" w:type="dxa"/>
            <w:tcBorders>
              <w:top w:val="nil"/>
              <w:left w:val="nil"/>
            </w:tcBorders>
          </w:tcPr>
          <w:p w14:paraId="1DD1FCE7" w14:textId="77777777" w:rsidR="009B63E7" w:rsidRDefault="009B63E7">
            <w:pPr>
              <w:pStyle w:val="BodyText"/>
              <w:spacing w:before="120" w:after="800"/>
              <w:contextualSpacing/>
              <w:rPr>
                <w:b/>
                <w:bCs/>
                <w:szCs w:val="22"/>
              </w:rPr>
            </w:pPr>
          </w:p>
        </w:tc>
        <w:tc>
          <w:tcPr>
            <w:tcW w:w="3300" w:type="dxa"/>
            <w:shd w:val="clear" w:color="auto" w:fill="17365D" w:themeFill="text2" w:themeFillShade="BF"/>
            <w:vAlign w:val="center"/>
          </w:tcPr>
          <w:p w14:paraId="1BDFF2E7" w14:textId="77777777" w:rsidR="009B63E7" w:rsidRPr="00963D76" w:rsidRDefault="009B63E7">
            <w:pPr>
              <w:pStyle w:val="BodyText"/>
              <w:spacing w:before="120"/>
              <w:contextualSpacing/>
              <w:jc w:val="center"/>
              <w:rPr>
                <w:b/>
                <w:bCs/>
                <w:sz w:val="16"/>
                <w:szCs w:val="22"/>
              </w:rPr>
            </w:pPr>
            <w:r>
              <w:rPr>
                <w:b/>
                <w:bCs/>
                <w:sz w:val="16"/>
                <w:szCs w:val="22"/>
              </w:rPr>
              <w:t>Reading and/or Writing Performance</w:t>
            </w:r>
          </w:p>
        </w:tc>
        <w:tc>
          <w:tcPr>
            <w:tcW w:w="3300" w:type="dxa"/>
            <w:shd w:val="clear" w:color="auto" w:fill="17365D" w:themeFill="text2" w:themeFillShade="BF"/>
            <w:vAlign w:val="center"/>
          </w:tcPr>
          <w:p w14:paraId="7976383E" w14:textId="77777777" w:rsidR="009B63E7" w:rsidRPr="006804C9" w:rsidRDefault="009B63E7">
            <w:pPr>
              <w:pStyle w:val="BodyText"/>
              <w:spacing w:before="120"/>
              <w:contextualSpacing/>
              <w:jc w:val="center"/>
              <w:rPr>
                <w:b/>
                <w:bCs/>
                <w:sz w:val="16"/>
                <w:szCs w:val="22"/>
              </w:rPr>
            </w:pPr>
            <w:r>
              <w:rPr>
                <w:b/>
                <w:bCs/>
                <w:sz w:val="16"/>
                <w:szCs w:val="22"/>
              </w:rPr>
              <w:t>Mathematics Performance</w:t>
            </w:r>
          </w:p>
        </w:tc>
        <w:tc>
          <w:tcPr>
            <w:tcW w:w="3300" w:type="dxa"/>
            <w:shd w:val="clear" w:color="auto" w:fill="17365D" w:themeFill="text2" w:themeFillShade="BF"/>
            <w:vAlign w:val="center"/>
          </w:tcPr>
          <w:p w14:paraId="4758A8CB" w14:textId="77777777" w:rsidR="009B63E7" w:rsidRPr="00963D76" w:rsidRDefault="009B63E7">
            <w:pPr>
              <w:pStyle w:val="BodyText"/>
              <w:spacing w:before="120"/>
              <w:contextualSpacing/>
              <w:jc w:val="center"/>
              <w:rPr>
                <w:b/>
                <w:bCs/>
                <w:sz w:val="16"/>
                <w:szCs w:val="22"/>
              </w:rPr>
            </w:pPr>
            <w:r>
              <w:rPr>
                <w:b/>
                <w:bCs/>
                <w:sz w:val="16"/>
                <w:szCs w:val="22"/>
              </w:rPr>
              <w:t>English Language Acquisition Performance</w:t>
            </w:r>
          </w:p>
        </w:tc>
      </w:tr>
      <w:tr w:rsidR="007C6211" w:rsidRPr="00770360" w14:paraId="3E23C0A0" w14:textId="77777777" w:rsidTr="00BB5BA6">
        <w:trPr>
          <w:trHeight w:val="926"/>
        </w:trPr>
        <w:tc>
          <w:tcPr>
            <w:tcW w:w="1440" w:type="dxa"/>
            <w:shd w:val="clear" w:color="auto" w:fill="D9D9D9" w:themeFill="background1" w:themeFillShade="D9"/>
            <w:vAlign w:val="center"/>
          </w:tcPr>
          <w:p w14:paraId="399D240F" w14:textId="77777777" w:rsidR="009B63E7" w:rsidRPr="00770360" w:rsidRDefault="009B63E7">
            <w:pPr>
              <w:pStyle w:val="BodyText"/>
              <w:spacing w:before="120"/>
              <w:contextualSpacing/>
              <w:rPr>
                <w:b/>
                <w:bCs/>
                <w:i/>
                <w:sz w:val="16"/>
                <w:szCs w:val="16"/>
              </w:rPr>
            </w:pPr>
            <w:r w:rsidRPr="00770360">
              <w:rPr>
                <w:b/>
                <w:bCs/>
                <w:i/>
                <w:sz w:val="16"/>
                <w:szCs w:val="16"/>
              </w:rPr>
              <w:t>EXAMPLE</w:t>
            </w:r>
          </w:p>
          <w:p w14:paraId="5C7D19A8" w14:textId="77777777" w:rsidR="009B63E7" w:rsidRPr="00770360" w:rsidRDefault="009B63E7">
            <w:pPr>
              <w:pStyle w:val="BodyText"/>
              <w:spacing w:before="120"/>
              <w:contextualSpacing/>
              <w:rPr>
                <w:b/>
                <w:bCs/>
                <w:i/>
                <w:sz w:val="16"/>
                <w:szCs w:val="16"/>
              </w:rPr>
            </w:pPr>
            <w:r w:rsidRPr="00770360">
              <w:rPr>
                <w:b/>
                <w:bCs/>
                <w:i/>
                <w:sz w:val="16"/>
                <w:szCs w:val="16"/>
              </w:rPr>
              <w:t xml:space="preserve">Year: </w:t>
            </w:r>
            <w:r>
              <w:rPr>
                <w:b/>
                <w:bCs/>
                <w:i/>
                <w:sz w:val="16"/>
                <w:szCs w:val="16"/>
              </w:rPr>
              <w:t>July 2018 – June 20</w:t>
            </w:r>
            <w:r w:rsidRPr="00770360">
              <w:rPr>
                <w:b/>
                <w:bCs/>
                <w:i/>
                <w:sz w:val="16"/>
                <w:szCs w:val="16"/>
              </w:rPr>
              <w:t>1</w:t>
            </w:r>
            <w:r>
              <w:rPr>
                <w:b/>
                <w:bCs/>
                <w:i/>
                <w:sz w:val="16"/>
                <w:szCs w:val="16"/>
              </w:rPr>
              <w:t>9</w:t>
            </w:r>
          </w:p>
        </w:tc>
        <w:tc>
          <w:tcPr>
            <w:tcW w:w="3300" w:type="dxa"/>
            <w:shd w:val="clear" w:color="auto" w:fill="D9D9D9" w:themeFill="background1" w:themeFillShade="D9"/>
            <w:vAlign w:val="center"/>
          </w:tcPr>
          <w:p w14:paraId="464E2370" w14:textId="77777777" w:rsidR="009B63E7" w:rsidRDefault="009B63E7" w:rsidP="00D90CF9">
            <w:pPr>
              <w:pStyle w:val="BodyText"/>
              <w:numPr>
                <w:ilvl w:val="0"/>
                <w:numId w:val="29"/>
              </w:numPr>
              <w:spacing w:before="120"/>
              <w:ind w:left="72" w:hanging="90"/>
              <w:contextualSpacing/>
              <w:rPr>
                <w:b/>
                <w:bCs/>
                <w:i/>
                <w:sz w:val="16"/>
                <w:szCs w:val="16"/>
              </w:rPr>
            </w:pPr>
            <w:r>
              <w:rPr>
                <w:b/>
                <w:bCs/>
                <w:i/>
                <w:sz w:val="16"/>
                <w:szCs w:val="16"/>
              </w:rPr>
              <w:t>48% EFL gains based on CASAS reading test</w:t>
            </w:r>
          </w:p>
          <w:p w14:paraId="3EB25E9F" w14:textId="77777777" w:rsidR="009B63E7" w:rsidRPr="00770360" w:rsidRDefault="009B63E7" w:rsidP="00D90CF9">
            <w:pPr>
              <w:pStyle w:val="BodyText"/>
              <w:numPr>
                <w:ilvl w:val="0"/>
                <w:numId w:val="29"/>
              </w:numPr>
              <w:spacing w:before="120"/>
              <w:ind w:left="72" w:hanging="90"/>
              <w:contextualSpacing/>
              <w:rPr>
                <w:b/>
                <w:bCs/>
                <w:i/>
                <w:sz w:val="16"/>
                <w:szCs w:val="16"/>
              </w:rPr>
            </w:pPr>
            <w:r>
              <w:rPr>
                <w:b/>
                <w:bCs/>
                <w:i/>
                <w:sz w:val="16"/>
                <w:szCs w:val="16"/>
              </w:rPr>
              <w:t>Improved writing scores for 75% of students based on XYZ assessment</w:t>
            </w:r>
          </w:p>
        </w:tc>
        <w:tc>
          <w:tcPr>
            <w:tcW w:w="3300" w:type="dxa"/>
            <w:shd w:val="clear" w:color="auto" w:fill="D9D9D9" w:themeFill="background1" w:themeFillShade="D9"/>
            <w:vAlign w:val="center"/>
          </w:tcPr>
          <w:p w14:paraId="5BE4D8EB" w14:textId="77777777" w:rsidR="009B63E7" w:rsidRDefault="009B63E7" w:rsidP="00D90CF9">
            <w:pPr>
              <w:pStyle w:val="BodyText"/>
              <w:numPr>
                <w:ilvl w:val="0"/>
                <w:numId w:val="29"/>
              </w:numPr>
              <w:spacing w:before="120"/>
              <w:ind w:left="72" w:hanging="90"/>
              <w:contextualSpacing/>
              <w:rPr>
                <w:b/>
                <w:bCs/>
                <w:i/>
                <w:sz w:val="16"/>
                <w:szCs w:val="16"/>
              </w:rPr>
            </w:pPr>
            <w:r>
              <w:rPr>
                <w:b/>
                <w:bCs/>
                <w:i/>
                <w:sz w:val="16"/>
                <w:szCs w:val="16"/>
              </w:rPr>
              <w:t>34% EFL gains based on TABE math test</w:t>
            </w:r>
          </w:p>
          <w:p w14:paraId="7562A36F" w14:textId="799DB4B0" w:rsidR="009B63E7" w:rsidRPr="00770360" w:rsidRDefault="009B63E7" w:rsidP="00D90CF9">
            <w:pPr>
              <w:pStyle w:val="BodyText"/>
              <w:numPr>
                <w:ilvl w:val="0"/>
                <w:numId w:val="29"/>
              </w:numPr>
              <w:spacing w:before="120"/>
              <w:ind w:left="72" w:hanging="90"/>
              <w:contextualSpacing/>
              <w:rPr>
                <w:b/>
                <w:bCs/>
                <w:i/>
                <w:sz w:val="16"/>
                <w:szCs w:val="16"/>
              </w:rPr>
            </w:pPr>
            <w:r>
              <w:rPr>
                <w:b/>
                <w:bCs/>
                <w:i/>
                <w:sz w:val="16"/>
                <w:szCs w:val="16"/>
              </w:rPr>
              <w:t>Improved math scores for 52% of students based on XYZ assessment</w:t>
            </w:r>
          </w:p>
        </w:tc>
        <w:tc>
          <w:tcPr>
            <w:tcW w:w="3300" w:type="dxa"/>
            <w:shd w:val="clear" w:color="auto" w:fill="D9D9D9" w:themeFill="background1" w:themeFillShade="D9"/>
            <w:vAlign w:val="center"/>
          </w:tcPr>
          <w:p w14:paraId="6424C106" w14:textId="77777777" w:rsidR="009B63E7" w:rsidRDefault="009B63E7" w:rsidP="00D90CF9">
            <w:pPr>
              <w:pStyle w:val="BodyText"/>
              <w:numPr>
                <w:ilvl w:val="0"/>
                <w:numId w:val="29"/>
              </w:numPr>
              <w:spacing w:after="240"/>
              <w:ind w:left="72" w:hanging="86"/>
              <w:contextualSpacing/>
              <w:rPr>
                <w:b/>
                <w:bCs/>
                <w:i/>
                <w:sz w:val="16"/>
                <w:szCs w:val="16"/>
              </w:rPr>
            </w:pPr>
            <w:r>
              <w:rPr>
                <w:b/>
                <w:bCs/>
                <w:i/>
                <w:sz w:val="16"/>
                <w:szCs w:val="16"/>
              </w:rPr>
              <w:t>55% overall EFL gains based on CASAS reading and listening tests</w:t>
            </w:r>
          </w:p>
          <w:p w14:paraId="710DEC00" w14:textId="77777777" w:rsidR="009B63E7" w:rsidRPr="00770360" w:rsidRDefault="009B63E7" w:rsidP="00D90CF9">
            <w:pPr>
              <w:pStyle w:val="BodyText"/>
              <w:numPr>
                <w:ilvl w:val="0"/>
                <w:numId w:val="29"/>
              </w:numPr>
              <w:ind w:left="72" w:hanging="86"/>
              <w:contextualSpacing/>
              <w:rPr>
                <w:b/>
                <w:bCs/>
                <w:i/>
                <w:sz w:val="16"/>
                <w:szCs w:val="16"/>
              </w:rPr>
            </w:pPr>
            <w:r>
              <w:rPr>
                <w:b/>
                <w:bCs/>
                <w:i/>
                <w:sz w:val="16"/>
                <w:szCs w:val="16"/>
              </w:rPr>
              <w:t>Improved English literacy scores for 38% of ESL students based on XYZ assessment</w:t>
            </w:r>
          </w:p>
        </w:tc>
      </w:tr>
      <w:tr w:rsidR="00984FC9" w14:paraId="5B5F4F25" w14:textId="77777777" w:rsidTr="00BB5BA6">
        <w:trPr>
          <w:trHeight w:val="953"/>
        </w:trPr>
        <w:tc>
          <w:tcPr>
            <w:tcW w:w="1440" w:type="dxa"/>
            <w:vAlign w:val="center"/>
          </w:tcPr>
          <w:p w14:paraId="7CA18114" w14:textId="77777777" w:rsidR="009B63E7" w:rsidRPr="00CE726A" w:rsidRDefault="009B63E7">
            <w:pPr>
              <w:pStyle w:val="BodyText"/>
              <w:spacing w:before="120"/>
              <w:contextualSpacing/>
              <w:rPr>
                <w:b/>
                <w:bCs/>
                <w:sz w:val="16"/>
                <w:szCs w:val="16"/>
              </w:rPr>
            </w:pPr>
            <w:r w:rsidRPr="00CE726A">
              <w:rPr>
                <w:b/>
                <w:bCs/>
                <w:sz w:val="16"/>
                <w:szCs w:val="16"/>
              </w:rPr>
              <w:t>Year:</w:t>
            </w:r>
          </w:p>
        </w:tc>
        <w:tc>
          <w:tcPr>
            <w:tcW w:w="3300" w:type="dxa"/>
            <w:vAlign w:val="center"/>
          </w:tcPr>
          <w:p w14:paraId="5AE1DCFE" w14:textId="77777777" w:rsidR="009B63E7" w:rsidRPr="00D446C2" w:rsidRDefault="009B63E7">
            <w:pPr>
              <w:pStyle w:val="BodyText"/>
              <w:spacing w:before="120"/>
              <w:contextualSpacing/>
              <w:rPr>
                <w:bCs/>
                <w:sz w:val="16"/>
                <w:szCs w:val="16"/>
              </w:rPr>
            </w:pPr>
          </w:p>
        </w:tc>
        <w:tc>
          <w:tcPr>
            <w:tcW w:w="3300" w:type="dxa"/>
            <w:vAlign w:val="center"/>
          </w:tcPr>
          <w:p w14:paraId="25E7D883" w14:textId="77777777" w:rsidR="009B63E7" w:rsidRPr="00D446C2" w:rsidRDefault="009B63E7">
            <w:pPr>
              <w:pStyle w:val="BodyText"/>
              <w:spacing w:before="120"/>
              <w:contextualSpacing/>
              <w:rPr>
                <w:bCs/>
                <w:sz w:val="16"/>
                <w:szCs w:val="16"/>
              </w:rPr>
            </w:pPr>
          </w:p>
        </w:tc>
        <w:tc>
          <w:tcPr>
            <w:tcW w:w="3300" w:type="dxa"/>
            <w:vAlign w:val="center"/>
          </w:tcPr>
          <w:p w14:paraId="4A69E411" w14:textId="77777777" w:rsidR="009B63E7" w:rsidRPr="00D446C2" w:rsidRDefault="009B63E7">
            <w:pPr>
              <w:pStyle w:val="BodyText"/>
              <w:spacing w:before="120"/>
              <w:contextualSpacing/>
              <w:rPr>
                <w:bCs/>
                <w:sz w:val="16"/>
                <w:szCs w:val="16"/>
              </w:rPr>
            </w:pPr>
          </w:p>
        </w:tc>
      </w:tr>
      <w:tr w:rsidR="00984FC9" w14:paraId="04C3B838" w14:textId="77777777" w:rsidTr="00BB5BA6">
        <w:trPr>
          <w:trHeight w:val="980"/>
        </w:trPr>
        <w:tc>
          <w:tcPr>
            <w:tcW w:w="1440" w:type="dxa"/>
            <w:vAlign w:val="center"/>
          </w:tcPr>
          <w:p w14:paraId="726C18A7" w14:textId="77777777" w:rsidR="009B63E7" w:rsidRPr="00CE726A" w:rsidRDefault="009B63E7">
            <w:pPr>
              <w:pStyle w:val="BodyText"/>
              <w:spacing w:before="120"/>
              <w:contextualSpacing/>
              <w:rPr>
                <w:b/>
                <w:bCs/>
                <w:sz w:val="16"/>
                <w:szCs w:val="16"/>
              </w:rPr>
            </w:pPr>
            <w:r w:rsidRPr="00CE726A">
              <w:rPr>
                <w:b/>
                <w:bCs/>
                <w:sz w:val="16"/>
                <w:szCs w:val="16"/>
              </w:rPr>
              <w:t>Year:</w:t>
            </w:r>
          </w:p>
        </w:tc>
        <w:tc>
          <w:tcPr>
            <w:tcW w:w="3300" w:type="dxa"/>
            <w:vAlign w:val="center"/>
          </w:tcPr>
          <w:p w14:paraId="37FAB32F" w14:textId="77777777" w:rsidR="009B63E7" w:rsidRPr="00D446C2" w:rsidRDefault="009B63E7">
            <w:pPr>
              <w:pStyle w:val="BodyText"/>
              <w:spacing w:before="120"/>
              <w:contextualSpacing/>
              <w:rPr>
                <w:bCs/>
                <w:sz w:val="16"/>
                <w:szCs w:val="16"/>
              </w:rPr>
            </w:pPr>
          </w:p>
        </w:tc>
        <w:tc>
          <w:tcPr>
            <w:tcW w:w="3300" w:type="dxa"/>
            <w:vAlign w:val="center"/>
          </w:tcPr>
          <w:p w14:paraId="27B8D6EF" w14:textId="77777777" w:rsidR="009B63E7" w:rsidRPr="00D446C2" w:rsidRDefault="009B63E7">
            <w:pPr>
              <w:pStyle w:val="BodyText"/>
              <w:spacing w:before="120"/>
              <w:contextualSpacing/>
              <w:rPr>
                <w:bCs/>
                <w:sz w:val="16"/>
                <w:szCs w:val="16"/>
              </w:rPr>
            </w:pPr>
          </w:p>
        </w:tc>
        <w:tc>
          <w:tcPr>
            <w:tcW w:w="3300" w:type="dxa"/>
            <w:vAlign w:val="center"/>
          </w:tcPr>
          <w:p w14:paraId="791A65E3" w14:textId="77777777" w:rsidR="009B63E7" w:rsidRPr="00D446C2" w:rsidRDefault="009B63E7">
            <w:pPr>
              <w:pStyle w:val="BodyText"/>
              <w:spacing w:before="120"/>
              <w:contextualSpacing/>
              <w:rPr>
                <w:bCs/>
                <w:sz w:val="16"/>
                <w:szCs w:val="16"/>
              </w:rPr>
            </w:pPr>
          </w:p>
        </w:tc>
      </w:tr>
    </w:tbl>
    <w:p w14:paraId="637EEE78" w14:textId="77777777" w:rsidR="009B63E7" w:rsidRDefault="009B63E7" w:rsidP="009B63E7">
      <w:pPr>
        <w:spacing w:after="120"/>
        <w:jc w:val="center"/>
        <w:rPr>
          <w:b/>
          <w:bCs/>
        </w:rPr>
      </w:pPr>
    </w:p>
    <w:p w14:paraId="178F5F4B" w14:textId="77777777" w:rsidR="009B63E7" w:rsidRDefault="009B63E7" w:rsidP="009B63E7">
      <w:pPr>
        <w:spacing w:after="120"/>
        <w:jc w:val="center"/>
      </w:pPr>
      <w:r>
        <w:rPr>
          <w:b/>
          <w:bCs/>
        </w:rPr>
        <w:t>Outcome</w:t>
      </w:r>
      <w:r w:rsidRPr="00E808C1">
        <w:rPr>
          <w:b/>
          <w:bCs/>
        </w:rPr>
        <w:t xml:space="preserve"> Domains Table</w:t>
      </w:r>
    </w:p>
    <w:tbl>
      <w:tblPr>
        <w:tblStyle w:val="TableGrid"/>
        <w:tblW w:w="11340" w:type="dxa"/>
        <w:tblInd w:w="-990" w:type="dxa"/>
        <w:tblLayout w:type="fixed"/>
        <w:tblLook w:val="04A0" w:firstRow="1" w:lastRow="0" w:firstColumn="1" w:lastColumn="0" w:noHBand="0" w:noVBand="1"/>
      </w:tblPr>
      <w:tblGrid>
        <w:gridCol w:w="1440"/>
        <w:gridCol w:w="3330"/>
        <w:gridCol w:w="3240"/>
        <w:gridCol w:w="3330"/>
      </w:tblGrid>
      <w:tr w:rsidR="00D61D85" w14:paraId="2B4464C2" w14:textId="77777777" w:rsidTr="00BB5BA6">
        <w:trPr>
          <w:trHeight w:val="576"/>
        </w:trPr>
        <w:tc>
          <w:tcPr>
            <w:tcW w:w="1440" w:type="dxa"/>
            <w:tcBorders>
              <w:top w:val="nil"/>
              <w:left w:val="nil"/>
            </w:tcBorders>
          </w:tcPr>
          <w:p w14:paraId="724770B9" w14:textId="77777777" w:rsidR="009B63E7" w:rsidRDefault="009B63E7">
            <w:pPr>
              <w:pStyle w:val="BodyText"/>
              <w:spacing w:before="120" w:after="800"/>
              <w:contextualSpacing/>
              <w:rPr>
                <w:b/>
                <w:bCs/>
                <w:szCs w:val="22"/>
              </w:rPr>
            </w:pPr>
            <w:r>
              <w:br w:type="page"/>
            </w:r>
          </w:p>
        </w:tc>
        <w:tc>
          <w:tcPr>
            <w:tcW w:w="3330" w:type="dxa"/>
            <w:shd w:val="clear" w:color="auto" w:fill="17365D" w:themeFill="text2" w:themeFillShade="BF"/>
            <w:vAlign w:val="center"/>
          </w:tcPr>
          <w:p w14:paraId="39BC570D" w14:textId="77777777" w:rsidR="009B63E7" w:rsidRPr="00527382" w:rsidRDefault="009B63E7">
            <w:pPr>
              <w:pStyle w:val="BodyText"/>
              <w:spacing w:before="120" w:after="800"/>
              <w:contextualSpacing/>
              <w:jc w:val="center"/>
              <w:rPr>
                <w:bCs/>
                <w:sz w:val="16"/>
                <w:szCs w:val="22"/>
              </w:rPr>
            </w:pPr>
            <w:r>
              <w:rPr>
                <w:b/>
                <w:bCs/>
                <w:sz w:val="16"/>
                <w:szCs w:val="22"/>
              </w:rPr>
              <w:t>Employment</w:t>
            </w:r>
          </w:p>
        </w:tc>
        <w:tc>
          <w:tcPr>
            <w:tcW w:w="3240" w:type="dxa"/>
            <w:shd w:val="clear" w:color="auto" w:fill="17365D" w:themeFill="text2" w:themeFillShade="BF"/>
            <w:vAlign w:val="center"/>
          </w:tcPr>
          <w:p w14:paraId="096472A8" w14:textId="77777777" w:rsidR="009B63E7" w:rsidRPr="006804C9" w:rsidRDefault="009B63E7">
            <w:pPr>
              <w:pStyle w:val="BodyText"/>
              <w:spacing w:before="120" w:after="800"/>
              <w:contextualSpacing/>
              <w:jc w:val="center"/>
              <w:rPr>
                <w:b/>
                <w:bCs/>
                <w:sz w:val="16"/>
                <w:szCs w:val="22"/>
              </w:rPr>
            </w:pPr>
            <w:r>
              <w:rPr>
                <w:b/>
                <w:bCs/>
                <w:sz w:val="16"/>
                <w:szCs w:val="22"/>
              </w:rPr>
              <w:t>Secondary School Diploma or Equivalency</w:t>
            </w:r>
          </w:p>
        </w:tc>
        <w:tc>
          <w:tcPr>
            <w:tcW w:w="3330" w:type="dxa"/>
            <w:shd w:val="clear" w:color="auto" w:fill="17365D" w:themeFill="text2" w:themeFillShade="BF"/>
            <w:vAlign w:val="center"/>
          </w:tcPr>
          <w:p w14:paraId="6D8F3DD7" w14:textId="77777777" w:rsidR="009B63E7" w:rsidRPr="006804C9" w:rsidRDefault="009B63E7">
            <w:pPr>
              <w:pStyle w:val="BodyText"/>
              <w:contextualSpacing/>
              <w:jc w:val="center"/>
              <w:rPr>
                <w:b/>
                <w:bCs/>
                <w:sz w:val="16"/>
                <w:szCs w:val="22"/>
              </w:rPr>
            </w:pPr>
            <w:r>
              <w:rPr>
                <w:b/>
                <w:bCs/>
                <w:sz w:val="16"/>
                <w:szCs w:val="22"/>
              </w:rPr>
              <w:t xml:space="preserve">Transition to Postsecondary Education &amp; Training </w:t>
            </w:r>
          </w:p>
        </w:tc>
      </w:tr>
      <w:tr w:rsidR="007C6211" w:rsidRPr="00770360" w14:paraId="0772465F" w14:textId="77777777" w:rsidTr="00BB5BA6">
        <w:trPr>
          <w:trHeight w:val="1493"/>
        </w:trPr>
        <w:tc>
          <w:tcPr>
            <w:tcW w:w="1440" w:type="dxa"/>
            <w:shd w:val="clear" w:color="auto" w:fill="D9D9D9" w:themeFill="background1" w:themeFillShade="D9"/>
            <w:vAlign w:val="center"/>
          </w:tcPr>
          <w:p w14:paraId="79DA1F7E" w14:textId="77777777" w:rsidR="009B63E7" w:rsidRPr="00770360" w:rsidRDefault="009B63E7">
            <w:pPr>
              <w:pStyle w:val="BodyText"/>
              <w:spacing w:before="120"/>
              <w:contextualSpacing/>
              <w:rPr>
                <w:b/>
                <w:bCs/>
                <w:i/>
                <w:sz w:val="16"/>
                <w:szCs w:val="16"/>
              </w:rPr>
            </w:pPr>
            <w:r w:rsidRPr="00770360">
              <w:rPr>
                <w:b/>
                <w:bCs/>
                <w:i/>
                <w:sz w:val="16"/>
                <w:szCs w:val="16"/>
              </w:rPr>
              <w:t>EXAMPLE</w:t>
            </w:r>
          </w:p>
          <w:p w14:paraId="3FF72DBE" w14:textId="77777777" w:rsidR="009B63E7" w:rsidRPr="00770360" w:rsidRDefault="009B63E7">
            <w:pPr>
              <w:pStyle w:val="BodyText"/>
              <w:spacing w:before="120"/>
              <w:contextualSpacing/>
              <w:rPr>
                <w:b/>
                <w:bCs/>
                <w:i/>
                <w:sz w:val="16"/>
                <w:szCs w:val="16"/>
              </w:rPr>
            </w:pPr>
            <w:r w:rsidRPr="00770360">
              <w:rPr>
                <w:b/>
                <w:bCs/>
                <w:i/>
                <w:sz w:val="16"/>
                <w:szCs w:val="16"/>
              </w:rPr>
              <w:t>Year:</w:t>
            </w:r>
            <w:r>
              <w:rPr>
                <w:b/>
                <w:bCs/>
                <w:i/>
                <w:sz w:val="16"/>
                <w:szCs w:val="16"/>
              </w:rPr>
              <w:t xml:space="preserve"> July 2021 – June 2022</w:t>
            </w:r>
          </w:p>
        </w:tc>
        <w:tc>
          <w:tcPr>
            <w:tcW w:w="3330" w:type="dxa"/>
            <w:shd w:val="clear" w:color="auto" w:fill="D9D9D9" w:themeFill="background1" w:themeFillShade="D9"/>
            <w:vAlign w:val="center"/>
          </w:tcPr>
          <w:p w14:paraId="08A2AD5D" w14:textId="77777777" w:rsidR="009B63E7" w:rsidRDefault="009B63E7" w:rsidP="00D90CF9">
            <w:pPr>
              <w:pStyle w:val="BodyText"/>
              <w:numPr>
                <w:ilvl w:val="0"/>
                <w:numId w:val="29"/>
              </w:numPr>
              <w:spacing w:before="120"/>
              <w:ind w:left="72" w:hanging="90"/>
              <w:contextualSpacing/>
              <w:rPr>
                <w:b/>
                <w:bCs/>
                <w:i/>
                <w:sz w:val="16"/>
                <w:szCs w:val="16"/>
              </w:rPr>
            </w:pPr>
            <w:r>
              <w:rPr>
                <w:b/>
                <w:bCs/>
                <w:i/>
                <w:sz w:val="16"/>
                <w:szCs w:val="16"/>
              </w:rPr>
              <w:t>33% of participants employed 4</w:t>
            </w:r>
            <w:r w:rsidRPr="00C96755">
              <w:rPr>
                <w:b/>
                <w:bCs/>
                <w:i/>
                <w:sz w:val="16"/>
                <w:szCs w:val="16"/>
                <w:vertAlign w:val="superscript"/>
              </w:rPr>
              <w:t>th</w:t>
            </w:r>
            <w:r>
              <w:rPr>
                <w:b/>
                <w:bCs/>
                <w:i/>
                <w:sz w:val="16"/>
                <w:szCs w:val="16"/>
              </w:rPr>
              <w:t xml:space="preserve"> quarter after exit quarter based on Jobs4TN data match</w:t>
            </w:r>
          </w:p>
          <w:p w14:paraId="63E18C5E" w14:textId="77777777" w:rsidR="009B63E7" w:rsidRDefault="009B63E7" w:rsidP="00D90CF9">
            <w:pPr>
              <w:pStyle w:val="BodyText"/>
              <w:numPr>
                <w:ilvl w:val="0"/>
                <w:numId w:val="29"/>
              </w:numPr>
              <w:spacing w:before="120"/>
              <w:ind w:left="72" w:hanging="90"/>
              <w:contextualSpacing/>
              <w:rPr>
                <w:b/>
                <w:bCs/>
                <w:i/>
                <w:sz w:val="16"/>
                <w:szCs w:val="16"/>
              </w:rPr>
            </w:pPr>
            <w:r>
              <w:rPr>
                <w:b/>
                <w:bCs/>
                <w:i/>
                <w:sz w:val="16"/>
                <w:szCs w:val="16"/>
              </w:rPr>
              <w:t>$2,916 median quarterly wages for participants 2</w:t>
            </w:r>
            <w:r w:rsidRPr="00C96755">
              <w:rPr>
                <w:b/>
                <w:bCs/>
                <w:i/>
                <w:sz w:val="16"/>
                <w:szCs w:val="16"/>
                <w:vertAlign w:val="superscript"/>
              </w:rPr>
              <w:t>nd</w:t>
            </w:r>
            <w:r>
              <w:rPr>
                <w:b/>
                <w:bCs/>
                <w:i/>
                <w:sz w:val="16"/>
                <w:szCs w:val="16"/>
              </w:rPr>
              <w:t xml:space="preserve"> quarter after their exit quarter based on Jobs4TN data match</w:t>
            </w:r>
          </w:p>
          <w:p w14:paraId="5ED2EC34" w14:textId="77777777" w:rsidR="009B63E7" w:rsidRPr="0037781E" w:rsidRDefault="009B63E7" w:rsidP="00D90CF9">
            <w:pPr>
              <w:pStyle w:val="BodyText"/>
              <w:numPr>
                <w:ilvl w:val="0"/>
                <w:numId w:val="29"/>
              </w:numPr>
              <w:spacing w:before="120"/>
              <w:ind w:left="72" w:hanging="90"/>
              <w:contextualSpacing/>
              <w:rPr>
                <w:b/>
                <w:bCs/>
                <w:i/>
                <w:sz w:val="16"/>
                <w:szCs w:val="16"/>
              </w:rPr>
            </w:pPr>
            <w:r>
              <w:rPr>
                <w:b/>
                <w:bCs/>
                <w:i/>
                <w:sz w:val="16"/>
                <w:szCs w:val="16"/>
              </w:rPr>
              <w:t>72% of students placed in employment after program completion, as reported by administration</w:t>
            </w:r>
          </w:p>
        </w:tc>
        <w:tc>
          <w:tcPr>
            <w:tcW w:w="3240" w:type="dxa"/>
            <w:shd w:val="clear" w:color="auto" w:fill="D9D9D9" w:themeFill="background1" w:themeFillShade="D9"/>
            <w:vAlign w:val="center"/>
          </w:tcPr>
          <w:p w14:paraId="5CBC82F8" w14:textId="77777777" w:rsidR="009B63E7" w:rsidRDefault="009B63E7" w:rsidP="00D90CF9">
            <w:pPr>
              <w:pStyle w:val="BodyText"/>
              <w:numPr>
                <w:ilvl w:val="0"/>
                <w:numId w:val="29"/>
              </w:numPr>
              <w:spacing w:before="120"/>
              <w:ind w:left="72" w:hanging="90"/>
              <w:contextualSpacing/>
              <w:rPr>
                <w:b/>
                <w:bCs/>
                <w:i/>
                <w:sz w:val="16"/>
                <w:szCs w:val="16"/>
              </w:rPr>
            </w:pPr>
            <w:r>
              <w:rPr>
                <w:b/>
                <w:bCs/>
                <w:i/>
                <w:sz w:val="16"/>
                <w:szCs w:val="16"/>
              </w:rPr>
              <w:t xml:space="preserve">55 students earned high school equivalency diplomas by passing the HiSET exam </w:t>
            </w:r>
          </w:p>
          <w:p w14:paraId="675E96BB" w14:textId="615B6116" w:rsidR="009B63E7" w:rsidRPr="00C67F94" w:rsidRDefault="00C67F94" w:rsidP="00C67F94">
            <w:pPr>
              <w:pStyle w:val="BodyText"/>
              <w:numPr>
                <w:ilvl w:val="0"/>
                <w:numId w:val="29"/>
              </w:numPr>
              <w:spacing w:before="120"/>
              <w:ind w:left="72" w:hanging="90"/>
              <w:contextualSpacing/>
              <w:rPr>
                <w:b/>
                <w:bCs/>
                <w:i/>
                <w:sz w:val="16"/>
                <w:szCs w:val="16"/>
              </w:rPr>
            </w:pPr>
            <w:r>
              <w:rPr>
                <w:b/>
                <w:bCs/>
                <w:i/>
                <w:sz w:val="16"/>
                <w:szCs w:val="16"/>
              </w:rPr>
              <w:t>26 adult high school students earned regular high school diplomas</w:t>
            </w:r>
          </w:p>
        </w:tc>
        <w:tc>
          <w:tcPr>
            <w:tcW w:w="3330" w:type="dxa"/>
            <w:shd w:val="clear" w:color="auto" w:fill="D9D9D9" w:themeFill="background1" w:themeFillShade="D9"/>
            <w:vAlign w:val="center"/>
          </w:tcPr>
          <w:p w14:paraId="32C963EB" w14:textId="77777777" w:rsidR="009B63E7" w:rsidRDefault="009B63E7" w:rsidP="00D90CF9">
            <w:pPr>
              <w:pStyle w:val="BodyText"/>
              <w:numPr>
                <w:ilvl w:val="0"/>
                <w:numId w:val="29"/>
              </w:numPr>
              <w:spacing w:before="120"/>
              <w:ind w:left="72" w:hanging="86"/>
              <w:contextualSpacing/>
              <w:rPr>
                <w:b/>
                <w:bCs/>
                <w:i/>
                <w:sz w:val="16"/>
                <w:szCs w:val="16"/>
              </w:rPr>
            </w:pPr>
            <w:r>
              <w:rPr>
                <w:b/>
                <w:bCs/>
                <w:i/>
                <w:sz w:val="16"/>
                <w:szCs w:val="16"/>
              </w:rPr>
              <w:t>12 students concurrently enrolled in recognized training programs, based on enrollment records</w:t>
            </w:r>
          </w:p>
          <w:p w14:paraId="730AFBFE" w14:textId="77777777" w:rsidR="009B63E7" w:rsidRPr="00C96755" w:rsidRDefault="009B63E7" w:rsidP="00D90CF9">
            <w:pPr>
              <w:pStyle w:val="BodyText"/>
              <w:numPr>
                <w:ilvl w:val="0"/>
                <w:numId w:val="29"/>
              </w:numPr>
              <w:spacing w:before="120" w:after="240"/>
              <w:ind w:left="72" w:hanging="90"/>
              <w:contextualSpacing/>
              <w:rPr>
                <w:b/>
                <w:bCs/>
                <w:i/>
                <w:sz w:val="16"/>
                <w:szCs w:val="16"/>
              </w:rPr>
            </w:pPr>
            <w:r>
              <w:rPr>
                <w:b/>
                <w:bCs/>
                <w:i/>
                <w:sz w:val="16"/>
                <w:szCs w:val="16"/>
              </w:rPr>
              <w:t>70% of graduating students enrolled in postsecondary programs within one year, based on enrollment records</w:t>
            </w:r>
          </w:p>
        </w:tc>
      </w:tr>
      <w:tr w:rsidR="00984FC9" w14:paraId="530B33B6" w14:textId="77777777" w:rsidTr="00BB5BA6">
        <w:trPr>
          <w:trHeight w:val="1007"/>
        </w:trPr>
        <w:tc>
          <w:tcPr>
            <w:tcW w:w="1440" w:type="dxa"/>
            <w:vAlign w:val="center"/>
          </w:tcPr>
          <w:p w14:paraId="4602712B" w14:textId="77777777" w:rsidR="009B63E7" w:rsidRPr="00CE726A" w:rsidRDefault="009B63E7">
            <w:pPr>
              <w:pStyle w:val="BodyText"/>
              <w:spacing w:before="120"/>
              <w:contextualSpacing/>
              <w:rPr>
                <w:b/>
                <w:bCs/>
                <w:sz w:val="16"/>
                <w:szCs w:val="16"/>
              </w:rPr>
            </w:pPr>
            <w:r w:rsidRPr="00CE726A">
              <w:rPr>
                <w:b/>
                <w:bCs/>
                <w:sz w:val="16"/>
                <w:szCs w:val="16"/>
              </w:rPr>
              <w:t>Year:</w:t>
            </w:r>
          </w:p>
        </w:tc>
        <w:tc>
          <w:tcPr>
            <w:tcW w:w="3330" w:type="dxa"/>
            <w:vAlign w:val="center"/>
          </w:tcPr>
          <w:p w14:paraId="66BC6379" w14:textId="77777777" w:rsidR="009B63E7" w:rsidRPr="00D446C2" w:rsidRDefault="009B63E7">
            <w:pPr>
              <w:pStyle w:val="BodyText"/>
              <w:spacing w:before="120"/>
              <w:contextualSpacing/>
              <w:rPr>
                <w:bCs/>
                <w:sz w:val="16"/>
                <w:szCs w:val="16"/>
              </w:rPr>
            </w:pPr>
          </w:p>
        </w:tc>
        <w:tc>
          <w:tcPr>
            <w:tcW w:w="3240" w:type="dxa"/>
            <w:vAlign w:val="center"/>
          </w:tcPr>
          <w:p w14:paraId="64410587" w14:textId="77777777" w:rsidR="009B63E7" w:rsidRPr="00D446C2" w:rsidRDefault="009B63E7">
            <w:pPr>
              <w:pStyle w:val="BodyText"/>
              <w:spacing w:before="120"/>
              <w:contextualSpacing/>
              <w:rPr>
                <w:bCs/>
                <w:sz w:val="16"/>
                <w:szCs w:val="16"/>
              </w:rPr>
            </w:pPr>
          </w:p>
        </w:tc>
        <w:tc>
          <w:tcPr>
            <w:tcW w:w="3330" w:type="dxa"/>
            <w:vAlign w:val="center"/>
          </w:tcPr>
          <w:p w14:paraId="2D7DED74" w14:textId="77777777" w:rsidR="009B63E7" w:rsidRPr="00D446C2" w:rsidRDefault="009B63E7">
            <w:pPr>
              <w:pStyle w:val="BodyText"/>
              <w:spacing w:before="120"/>
              <w:contextualSpacing/>
              <w:rPr>
                <w:bCs/>
                <w:sz w:val="16"/>
                <w:szCs w:val="16"/>
              </w:rPr>
            </w:pPr>
          </w:p>
        </w:tc>
      </w:tr>
      <w:tr w:rsidR="00984FC9" w14:paraId="6BC934AD" w14:textId="77777777" w:rsidTr="00BB5BA6">
        <w:trPr>
          <w:trHeight w:val="1043"/>
        </w:trPr>
        <w:tc>
          <w:tcPr>
            <w:tcW w:w="1440" w:type="dxa"/>
            <w:vAlign w:val="center"/>
          </w:tcPr>
          <w:p w14:paraId="6FCBAC46" w14:textId="77777777" w:rsidR="009B63E7" w:rsidRPr="00CE726A" w:rsidRDefault="009B63E7">
            <w:pPr>
              <w:pStyle w:val="BodyText"/>
              <w:spacing w:before="120"/>
              <w:contextualSpacing/>
              <w:rPr>
                <w:b/>
                <w:bCs/>
                <w:sz w:val="16"/>
                <w:szCs w:val="16"/>
              </w:rPr>
            </w:pPr>
            <w:r w:rsidRPr="00CE726A">
              <w:rPr>
                <w:b/>
                <w:bCs/>
                <w:sz w:val="16"/>
                <w:szCs w:val="16"/>
              </w:rPr>
              <w:t>Year:</w:t>
            </w:r>
          </w:p>
        </w:tc>
        <w:tc>
          <w:tcPr>
            <w:tcW w:w="3330" w:type="dxa"/>
            <w:vAlign w:val="center"/>
          </w:tcPr>
          <w:p w14:paraId="739CED7E" w14:textId="77777777" w:rsidR="009B63E7" w:rsidRPr="00D446C2" w:rsidRDefault="009B63E7">
            <w:pPr>
              <w:pStyle w:val="BodyText"/>
              <w:spacing w:before="120"/>
              <w:contextualSpacing/>
              <w:rPr>
                <w:bCs/>
                <w:sz w:val="16"/>
                <w:szCs w:val="16"/>
              </w:rPr>
            </w:pPr>
          </w:p>
        </w:tc>
        <w:tc>
          <w:tcPr>
            <w:tcW w:w="3240" w:type="dxa"/>
            <w:vAlign w:val="center"/>
          </w:tcPr>
          <w:p w14:paraId="664FE28C" w14:textId="77777777" w:rsidR="009B63E7" w:rsidRPr="00D446C2" w:rsidRDefault="009B63E7">
            <w:pPr>
              <w:pStyle w:val="BodyText"/>
              <w:spacing w:before="120"/>
              <w:contextualSpacing/>
              <w:rPr>
                <w:bCs/>
                <w:sz w:val="16"/>
                <w:szCs w:val="16"/>
              </w:rPr>
            </w:pPr>
          </w:p>
        </w:tc>
        <w:tc>
          <w:tcPr>
            <w:tcW w:w="3330" w:type="dxa"/>
            <w:vAlign w:val="center"/>
          </w:tcPr>
          <w:p w14:paraId="21B304BB" w14:textId="77777777" w:rsidR="009B63E7" w:rsidRPr="00D446C2" w:rsidRDefault="009B63E7">
            <w:pPr>
              <w:pStyle w:val="BodyText"/>
              <w:spacing w:before="120"/>
              <w:contextualSpacing/>
              <w:rPr>
                <w:bCs/>
                <w:sz w:val="16"/>
                <w:szCs w:val="16"/>
              </w:rPr>
            </w:pPr>
          </w:p>
        </w:tc>
      </w:tr>
      <w:bookmarkEnd w:id="55"/>
    </w:tbl>
    <w:p w14:paraId="2D808574" w14:textId="61EA2FF4" w:rsidR="00880C1A" w:rsidRDefault="00880C1A" w:rsidP="00045139">
      <w:pPr>
        <w:keepLines/>
        <w:contextualSpacing/>
        <w:rPr>
          <w:b/>
          <w:bCs/>
          <w:lang w:eastAsia="x-none"/>
        </w:rPr>
        <w:sectPr w:rsidR="00880C1A" w:rsidSect="00EB36A0">
          <w:headerReference w:type="default" r:id="rId51"/>
          <w:pgSz w:w="12240" w:h="15840" w:code="1"/>
          <w:pgMar w:top="1440" w:right="1440" w:bottom="1440" w:left="1440" w:header="720" w:footer="720" w:gutter="0"/>
          <w:cols w:space="720"/>
          <w:docGrid w:linePitch="360"/>
        </w:sectPr>
      </w:pPr>
    </w:p>
    <w:p w14:paraId="316201BC" w14:textId="72736F55" w:rsidR="00CE64B0" w:rsidRDefault="00CE64B0" w:rsidP="00045139">
      <w:pPr>
        <w:keepLines/>
        <w:spacing w:after="120"/>
      </w:pPr>
      <w:r>
        <w:lastRenderedPageBreak/>
        <w:t xml:space="preserve">Note: In the case of applicants applying as a consortium, each member of the consortium must </w:t>
      </w:r>
      <w:r w:rsidR="008D407F">
        <w:t xml:space="preserve">contribute </w:t>
      </w:r>
      <w:r w:rsidR="002803C6">
        <w:t>“demonstrated effectiveness”</w:t>
      </w:r>
      <w:r>
        <w:t xml:space="preserve"> </w:t>
      </w:r>
      <w:r w:rsidR="008D407F">
        <w:t xml:space="preserve">data. </w:t>
      </w:r>
      <w:r w:rsidRPr="00857009">
        <w:t>A single consortium member that fails to demonstrate effectiveness disqualifies the entire consortium application.</w:t>
      </w:r>
    </w:p>
    <w:p w14:paraId="2FE39F3D" w14:textId="77777777" w:rsidR="00845D76" w:rsidRDefault="00845D76" w:rsidP="00CE64B0">
      <w:pPr>
        <w:keepLines/>
        <w:contextualSpacing/>
      </w:pPr>
    </w:p>
    <w:p w14:paraId="0A202637" w14:textId="15812D3D" w:rsidR="00845D76" w:rsidRDefault="009314FB" w:rsidP="00845D76">
      <w:pPr>
        <w:pStyle w:val="Heading3"/>
      </w:pPr>
      <w:r>
        <w:t>SCREENING</w:t>
      </w:r>
    </w:p>
    <w:p w14:paraId="4EEDA4F0" w14:textId="77777777" w:rsidR="00045139" w:rsidRPr="00045139" w:rsidRDefault="00045139" w:rsidP="00045139"/>
    <w:p w14:paraId="0E66BAF7" w14:textId="2169B6E3" w:rsidR="00845D76" w:rsidRDefault="00845D76" w:rsidP="00845D76">
      <w:pPr>
        <w:keepLines/>
        <w:contextualSpacing/>
      </w:pPr>
      <w:r w:rsidRPr="00C777CC">
        <w:t>T</w:t>
      </w:r>
      <w:r w:rsidR="004E60A0">
        <w:t xml:space="preserve">DLWD </w:t>
      </w:r>
      <w:r w:rsidRPr="00C777CC">
        <w:t xml:space="preserve">will </w:t>
      </w:r>
      <w:r w:rsidR="009314FB">
        <w:t>screen</w:t>
      </w:r>
      <w:r w:rsidR="004E60A0">
        <w:t xml:space="preserve"> </w:t>
      </w:r>
      <w:r w:rsidR="00CB76FC">
        <w:t>applicants’</w:t>
      </w:r>
      <w:r w:rsidRPr="00C777CC">
        <w:t xml:space="preserve"> </w:t>
      </w:r>
      <w:r w:rsidR="00DC302E">
        <w:t>“demonstrated effectiveness” data</w:t>
      </w:r>
      <w:r w:rsidR="009A004C">
        <w:t xml:space="preserve"> </w:t>
      </w:r>
      <w:r w:rsidR="009B4238">
        <w:t xml:space="preserve">to determine if the following minimum criteria </w:t>
      </w:r>
      <w:r w:rsidR="003B2D61">
        <w:t xml:space="preserve">are met: </w:t>
      </w:r>
    </w:p>
    <w:p w14:paraId="674E94B8" w14:textId="77777777" w:rsidR="00845D76" w:rsidRDefault="00845D76" w:rsidP="00845D76">
      <w:pPr>
        <w:keepLines/>
        <w:contextualSpacing/>
      </w:pPr>
    </w:p>
    <w:p w14:paraId="4CAC3614" w14:textId="3C206C50" w:rsidR="00845D76" w:rsidRPr="00F01AB4" w:rsidRDefault="00845D76" w:rsidP="00D90CF9">
      <w:pPr>
        <w:pStyle w:val="ListParagraph"/>
        <w:keepLines/>
        <w:numPr>
          <w:ilvl w:val="0"/>
          <w:numId w:val="28"/>
        </w:numPr>
        <w:spacing w:after="120" w:line="240" w:lineRule="auto"/>
        <w:contextualSpacing w:val="0"/>
        <w:rPr>
          <w:rFonts w:ascii="Open Sans" w:hAnsi="Open Sans"/>
        </w:rPr>
      </w:pPr>
      <w:r>
        <w:rPr>
          <w:rFonts w:ascii="Open Sans" w:hAnsi="Open Sans"/>
          <w:b/>
          <w:bCs/>
        </w:rPr>
        <w:t>N</w:t>
      </w:r>
      <w:r w:rsidRPr="009E6F75">
        <w:rPr>
          <w:rFonts w:ascii="Open Sans" w:hAnsi="Open Sans"/>
          <w:b/>
          <w:bCs/>
        </w:rPr>
        <w:t xml:space="preserve">on-zero data are </w:t>
      </w:r>
      <w:r>
        <w:rPr>
          <w:rFonts w:ascii="Open Sans" w:hAnsi="Open Sans"/>
          <w:b/>
          <w:bCs/>
        </w:rPr>
        <w:t>provided</w:t>
      </w:r>
      <w:r w:rsidRPr="009E6F75">
        <w:rPr>
          <w:rFonts w:ascii="Open Sans" w:hAnsi="Open Sans"/>
          <w:b/>
          <w:bCs/>
        </w:rPr>
        <w:t xml:space="preserve"> </w:t>
      </w:r>
      <w:r w:rsidR="00DA4CD1">
        <w:rPr>
          <w:rFonts w:ascii="Open Sans" w:hAnsi="Open Sans"/>
          <w:b/>
          <w:bCs/>
        </w:rPr>
        <w:t>for</w:t>
      </w:r>
      <w:r w:rsidRPr="009E6F75">
        <w:rPr>
          <w:rFonts w:ascii="Open Sans" w:hAnsi="Open Sans"/>
          <w:b/>
          <w:bCs/>
        </w:rPr>
        <w:t xml:space="preserve"> </w:t>
      </w:r>
      <w:r>
        <w:rPr>
          <w:rFonts w:ascii="Open Sans" w:hAnsi="Open Sans"/>
          <w:b/>
          <w:bCs/>
        </w:rPr>
        <w:t xml:space="preserve">at least one of the </w:t>
      </w:r>
      <w:r w:rsidR="00F01AB4">
        <w:rPr>
          <w:rFonts w:ascii="Open Sans" w:hAnsi="Open Sans"/>
          <w:b/>
          <w:bCs/>
        </w:rPr>
        <w:t xml:space="preserve">following </w:t>
      </w:r>
      <w:r>
        <w:rPr>
          <w:rFonts w:ascii="Open Sans" w:hAnsi="Open Sans"/>
          <w:b/>
          <w:bCs/>
        </w:rPr>
        <w:t xml:space="preserve">content </w:t>
      </w:r>
      <w:r w:rsidR="00710F7B">
        <w:rPr>
          <w:rFonts w:ascii="Open Sans" w:hAnsi="Open Sans"/>
          <w:b/>
          <w:bCs/>
        </w:rPr>
        <w:t>areas</w:t>
      </w:r>
      <w:r>
        <w:rPr>
          <w:rFonts w:ascii="Open Sans" w:hAnsi="Open Sans"/>
          <w:b/>
          <w:bCs/>
        </w:rPr>
        <w:t xml:space="preserve"> (</w:t>
      </w:r>
      <w:r w:rsidR="00C1302B">
        <w:rPr>
          <w:rFonts w:ascii="Open Sans" w:hAnsi="Open Sans"/>
          <w:b/>
          <w:bCs/>
        </w:rPr>
        <w:t>for two years</w:t>
      </w:r>
      <w:r>
        <w:rPr>
          <w:rFonts w:ascii="Open Sans" w:hAnsi="Open Sans"/>
          <w:b/>
          <w:bCs/>
        </w:rPr>
        <w:t>).</w:t>
      </w:r>
    </w:p>
    <w:p w14:paraId="008F0E72" w14:textId="3146047B" w:rsidR="00F01AB4" w:rsidRPr="00F01AB4" w:rsidRDefault="00F01AB4" w:rsidP="00D90CF9">
      <w:pPr>
        <w:pStyle w:val="ListParagraph"/>
        <w:keepLines/>
        <w:numPr>
          <w:ilvl w:val="1"/>
          <w:numId w:val="28"/>
        </w:numPr>
        <w:rPr>
          <w:rFonts w:ascii="Open Sans" w:hAnsi="Open Sans"/>
        </w:rPr>
      </w:pPr>
      <w:r w:rsidRPr="00F01AB4">
        <w:rPr>
          <w:rFonts w:ascii="Open Sans" w:hAnsi="Open Sans"/>
        </w:rPr>
        <w:t>Reading</w:t>
      </w:r>
      <w:r w:rsidR="00327F63">
        <w:rPr>
          <w:rFonts w:ascii="Open Sans" w:hAnsi="Open Sans"/>
        </w:rPr>
        <w:t>/</w:t>
      </w:r>
      <w:r w:rsidRPr="00F01AB4">
        <w:rPr>
          <w:rFonts w:ascii="Open Sans" w:hAnsi="Open Sans"/>
        </w:rPr>
        <w:t>writing</w:t>
      </w:r>
    </w:p>
    <w:p w14:paraId="0B29D959" w14:textId="77777777" w:rsidR="00F01AB4" w:rsidRPr="00F01AB4" w:rsidRDefault="00F01AB4" w:rsidP="00D90CF9">
      <w:pPr>
        <w:pStyle w:val="ListParagraph"/>
        <w:keepLines/>
        <w:numPr>
          <w:ilvl w:val="1"/>
          <w:numId w:val="28"/>
        </w:numPr>
        <w:rPr>
          <w:rFonts w:ascii="Open Sans" w:hAnsi="Open Sans"/>
        </w:rPr>
      </w:pPr>
      <w:r w:rsidRPr="00F01AB4">
        <w:rPr>
          <w:rFonts w:ascii="Open Sans" w:hAnsi="Open Sans"/>
        </w:rPr>
        <w:t>Mathematics</w:t>
      </w:r>
    </w:p>
    <w:p w14:paraId="051B3A0F" w14:textId="266677F5" w:rsidR="00F01AB4" w:rsidRPr="00F01AB4" w:rsidRDefault="00F01AB4" w:rsidP="00C67F94">
      <w:pPr>
        <w:pStyle w:val="ListParagraph"/>
        <w:keepLines/>
        <w:numPr>
          <w:ilvl w:val="1"/>
          <w:numId w:val="28"/>
        </w:numPr>
        <w:spacing w:after="120"/>
        <w:contextualSpacing w:val="0"/>
        <w:rPr>
          <w:rFonts w:ascii="Open Sans" w:hAnsi="Open Sans"/>
        </w:rPr>
      </w:pPr>
      <w:r w:rsidRPr="00F01AB4">
        <w:rPr>
          <w:rFonts w:ascii="Open Sans" w:hAnsi="Open Sans"/>
        </w:rPr>
        <w:t>English language acquisition</w:t>
      </w:r>
    </w:p>
    <w:p w14:paraId="05A371F0" w14:textId="02539D32" w:rsidR="00845D76" w:rsidRDefault="00845D76" w:rsidP="00D90CF9">
      <w:pPr>
        <w:pStyle w:val="ListParagraph"/>
        <w:keepLines/>
        <w:numPr>
          <w:ilvl w:val="0"/>
          <w:numId w:val="28"/>
        </w:numPr>
        <w:spacing w:after="120" w:line="240" w:lineRule="auto"/>
        <w:contextualSpacing w:val="0"/>
        <w:rPr>
          <w:rFonts w:ascii="Open Sans" w:hAnsi="Open Sans"/>
          <w:b/>
          <w:bCs/>
        </w:rPr>
      </w:pPr>
      <w:r>
        <w:rPr>
          <w:rFonts w:ascii="Open Sans" w:hAnsi="Open Sans"/>
          <w:b/>
          <w:bCs/>
        </w:rPr>
        <w:t>N</w:t>
      </w:r>
      <w:r w:rsidRPr="00A01CFC">
        <w:rPr>
          <w:rFonts w:ascii="Open Sans" w:hAnsi="Open Sans"/>
          <w:b/>
          <w:bCs/>
        </w:rPr>
        <w:t xml:space="preserve">on-zero data are </w:t>
      </w:r>
      <w:r>
        <w:rPr>
          <w:rFonts w:ascii="Open Sans" w:hAnsi="Open Sans"/>
          <w:b/>
          <w:bCs/>
        </w:rPr>
        <w:t>provided</w:t>
      </w:r>
      <w:r w:rsidRPr="00A01CFC">
        <w:rPr>
          <w:rFonts w:ascii="Open Sans" w:hAnsi="Open Sans"/>
          <w:b/>
          <w:bCs/>
        </w:rPr>
        <w:t xml:space="preserve"> </w:t>
      </w:r>
      <w:r w:rsidR="00DA4CD1">
        <w:rPr>
          <w:rFonts w:ascii="Open Sans" w:hAnsi="Open Sans"/>
          <w:b/>
          <w:bCs/>
        </w:rPr>
        <w:t>for</w:t>
      </w:r>
      <w:r w:rsidRPr="00A01CFC">
        <w:rPr>
          <w:rFonts w:ascii="Open Sans" w:hAnsi="Open Sans"/>
          <w:b/>
          <w:bCs/>
        </w:rPr>
        <w:t xml:space="preserve"> at least one of the outcome </w:t>
      </w:r>
      <w:r w:rsidR="00710F7B">
        <w:rPr>
          <w:rFonts w:ascii="Open Sans" w:hAnsi="Open Sans"/>
          <w:b/>
          <w:bCs/>
        </w:rPr>
        <w:t>areas</w:t>
      </w:r>
      <w:r>
        <w:rPr>
          <w:rFonts w:ascii="Open Sans" w:hAnsi="Open Sans"/>
          <w:b/>
          <w:bCs/>
        </w:rPr>
        <w:t xml:space="preserve"> (</w:t>
      </w:r>
      <w:r w:rsidR="00C1302B">
        <w:rPr>
          <w:rFonts w:ascii="Open Sans" w:hAnsi="Open Sans"/>
          <w:b/>
          <w:bCs/>
        </w:rPr>
        <w:t>for two years</w:t>
      </w:r>
      <w:r>
        <w:rPr>
          <w:rFonts w:ascii="Open Sans" w:hAnsi="Open Sans"/>
          <w:b/>
          <w:bCs/>
        </w:rPr>
        <w:t>)</w:t>
      </w:r>
      <w:r w:rsidRPr="00A01CFC">
        <w:rPr>
          <w:rFonts w:ascii="Open Sans" w:hAnsi="Open Sans"/>
          <w:b/>
          <w:bCs/>
        </w:rPr>
        <w:t>.</w:t>
      </w:r>
    </w:p>
    <w:p w14:paraId="3707C9A7" w14:textId="77777777" w:rsidR="00F01AB4" w:rsidRPr="00F01AB4" w:rsidRDefault="00F01AB4" w:rsidP="00D90CF9">
      <w:pPr>
        <w:pStyle w:val="ListParagraph"/>
        <w:keepLines/>
        <w:numPr>
          <w:ilvl w:val="1"/>
          <w:numId w:val="4"/>
        </w:numPr>
        <w:rPr>
          <w:rFonts w:ascii="Open Sans" w:hAnsi="Open Sans"/>
        </w:rPr>
      </w:pPr>
      <w:r w:rsidRPr="00F01AB4">
        <w:rPr>
          <w:rFonts w:ascii="Open Sans" w:hAnsi="Open Sans"/>
          <w:lang w:eastAsia="x-none"/>
        </w:rPr>
        <w:t>Employment (e.g., employment status, wages, recruitment, etc.)</w:t>
      </w:r>
    </w:p>
    <w:p w14:paraId="40CFD1E0" w14:textId="77777777" w:rsidR="00F01AB4" w:rsidRPr="00F01AB4" w:rsidRDefault="00F01AB4" w:rsidP="00D90CF9">
      <w:pPr>
        <w:pStyle w:val="ListParagraph"/>
        <w:keepLines/>
        <w:numPr>
          <w:ilvl w:val="1"/>
          <w:numId w:val="5"/>
        </w:numPr>
        <w:rPr>
          <w:rFonts w:ascii="Open Sans" w:hAnsi="Open Sans"/>
          <w:lang w:eastAsia="x-none"/>
        </w:rPr>
      </w:pPr>
      <w:r w:rsidRPr="00F01AB4">
        <w:rPr>
          <w:rFonts w:ascii="Open Sans" w:hAnsi="Open Sans"/>
          <w:lang w:eastAsia="x-none"/>
        </w:rPr>
        <w:t xml:space="preserve">High school diploma or equivalency attainment </w:t>
      </w:r>
    </w:p>
    <w:p w14:paraId="23F22C6B" w14:textId="5978643E" w:rsidR="00F01AB4" w:rsidRPr="00F01AB4" w:rsidRDefault="00F01AB4" w:rsidP="00D90CF9">
      <w:pPr>
        <w:pStyle w:val="ListParagraph"/>
        <w:keepLines/>
        <w:numPr>
          <w:ilvl w:val="1"/>
          <w:numId w:val="5"/>
        </w:numPr>
        <w:spacing w:after="0"/>
        <w:contextualSpacing w:val="0"/>
        <w:rPr>
          <w:rFonts w:ascii="Open Sans" w:hAnsi="Open Sans"/>
          <w:lang w:eastAsia="x-none"/>
        </w:rPr>
      </w:pPr>
      <w:r w:rsidRPr="00F01AB4">
        <w:rPr>
          <w:rFonts w:ascii="Open Sans" w:hAnsi="Open Sans"/>
          <w:lang w:eastAsia="x-none"/>
        </w:rPr>
        <w:t>Transitioning learners to postsecondary education and training</w:t>
      </w:r>
    </w:p>
    <w:p w14:paraId="44C28D6D" w14:textId="77777777" w:rsidR="00C1094F" w:rsidRDefault="00C1094F" w:rsidP="005A1FDB">
      <w:pPr>
        <w:keepLines/>
        <w:contextualSpacing/>
        <w:rPr>
          <w:bCs/>
        </w:rPr>
      </w:pPr>
    </w:p>
    <w:p w14:paraId="67331670" w14:textId="77777777" w:rsidR="00550B7D" w:rsidRPr="005A1FDB" w:rsidRDefault="003D16B0" w:rsidP="00550B7D">
      <w:pPr>
        <w:keepLines/>
        <w:contextualSpacing/>
        <w:rPr>
          <w:bCs/>
        </w:rPr>
      </w:pPr>
      <w:r>
        <w:rPr>
          <w:bCs/>
        </w:rPr>
        <w:t xml:space="preserve">Applicants who meet these criteria will be considered </w:t>
      </w:r>
      <w:r w:rsidR="004437B4">
        <w:rPr>
          <w:bCs/>
        </w:rPr>
        <w:t xml:space="preserve">as agencies </w:t>
      </w:r>
      <w:r w:rsidR="002C58CE">
        <w:rPr>
          <w:bCs/>
        </w:rPr>
        <w:t xml:space="preserve">with demonstrated effectiveness, and their applications will be </w:t>
      </w:r>
      <w:r w:rsidR="0069084D">
        <w:rPr>
          <w:bCs/>
        </w:rPr>
        <w:t>reviewed</w:t>
      </w:r>
      <w:r w:rsidR="009314FB">
        <w:rPr>
          <w:bCs/>
        </w:rPr>
        <w:t>, scored, and considered for funding.</w:t>
      </w:r>
      <w:r w:rsidR="00550B7D">
        <w:rPr>
          <w:bCs/>
        </w:rPr>
        <w:t xml:space="preserve"> </w:t>
      </w:r>
      <w:r w:rsidR="00550B7D" w:rsidRPr="00CB5EEE">
        <w:rPr>
          <w:bCs/>
        </w:rPr>
        <w:t>Soon after receiving “</w:t>
      </w:r>
      <w:r w:rsidR="00550B7D">
        <w:rPr>
          <w:bCs/>
        </w:rPr>
        <w:t>demonstrated effectiveness” data</w:t>
      </w:r>
      <w:r w:rsidR="00550B7D" w:rsidRPr="00CB5EEE">
        <w:rPr>
          <w:bCs/>
        </w:rPr>
        <w:t xml:space="preserve"> from a prospective applicant, </w:t>
      </w:r>
      <w:r w:rsidR="00550B7D">
        <w:rPr>
          <w:bCs/>
        </w:rPr>
        <w:t>TDLWD</w:t>
      </w:r>
      <w:r w:rsidR="00550B7D" w:rsidRPr="00CB5EEE">
        <w:rPr>
          <w:bCs/>
        </w:rPr>
        <w:t xml:space="preserve"> will respond concerning their eligibility</w:t>
      </w:r>
      <w:r w:rsidR="00550B7D">
        <w:rPr>
          <w:bCs/>
        </w:rPr>
        <w:t>.</w:t>
      </w:r>
    </w:p>
    <w:p w14:paraId="78F16274" w14:textId="2DF0AB3E" w:rsidR="00B81FBD" w:rsidRDefault="00B81FBD" w:rsidP="005A1FDB">
      <w:pPr>
        <w:keepLines/>
        <w:contextualSpacing/>
        <w:rPr>
          <w:bCs/>
        </w:rPr>
      </w:pPr>
    </w:p>
    <w:p w14:paraId="79CA5F10" w14:textId="77777777" w:rsidR="00CB5EEE" w:rsidRDefault="00CB5EEE" w:rsidP="005A1FDB">
      <w:pPr>
        <w:keepLines/>
        <w:contextualSpacing/>
        <w:rPr>
          <w:bCs/>
        </w:rPr>
      </w:pPr>
    </w:p>
    <w:p w14:paraId="5F5AE8EF" w14:textId="77777777" w:rsidR="00B81FBD" w:rsidRDefault="00B81FBD">
      <w:pPr>
        <w:rPr>
          <w:b/>
          <w:bCs/>
        </w:rPr>
        <w:sectPr w:rsidR="00B81FBD" w:rsidSect="00EB36A0">
          <w:pgSz w:w="12240" w:h="15840" w:code="1"/>
          <w:pgMar w:top="1440" w:right="1440" w:bottom="1440" w:left="1440" w:header="720" w:footer="720" w:gutter="0"/>
          <w:cols w:space="720"/>
          <w:docGrid w:linePitch="360"/>
        </w:sectPr>
      </w:pPr>
    </w:p>
    <w:p w14:paraId="3D7646B2" w14:textId="22D23DA4" w:rsidR="00B554CA" w:rsidRPr="005A053D" w:rsidRDefault="00E76D7F" w:rsidP="00E76D7F">
      <w:pPr>
        <w:pStyle w:val="Heading1"/>
        <w:keepNext w:val="0"/>
        <w:keepLines/>
        <w:rPr>
          <w:b w:val="0"/>
          <w:bCs/>
          <w:szCs w:val="36"/>
        </w:rPr>
      </w:pPr>
      <w:bookmarkStart w:id="56" w:name="_Toc128579630"/>
      <w:r w:rsidRPr="00EE7081">
        <w:rPr>
          <w:rFonts w:ascii="Open Sans" w:eastAsia="Calibri" w:hAnsi="Open Sans"/>
        </w:rPr>
        <w:lastRenderedPageBreak/>
        <w:t>Appendix</w:t>
      </w:r>
      <w:r>
        <w:rPr>
          <w:rFonts w:ascii="Open Sans" w:eastAsia="Calibri" w:hAnsi="Open Sans"/>
        </w:rPr>
        <w:t xml:space="preserve"> B: Cover Page</w:t>
      </w:r>
      <w:r w:rsidR="00970F9B" w:rsidRPr="00E76D7F">
        <w:rPr>
          <w:rStyle w:val="FootnoteReference"/>
          <w:rFonts w:ascii="Open Sans" w:eastAsia="Calibri" w:hAnsi="Open Sans"/>
          <w:b w:val="0"/>
          <w:bCs/>
          <w:sz w:val="22"/>
          <w:szCs w:val="20"/>
        </w:rPr>
        <w:footnoteReference w:id="47"/>
      </w:r>
      <w:bookmarkEnd w:id="56"/>
    </w:p>
    <w:p w14:paraId="132FA2A5" w14:textId="77777777" w:rsidR="00B554CA" w:rsidRDefault="00B554CA" w:rsidP="00B554CA">
      <w:pPr>
        <w:pStyle w:val="BodyText"/>
        <w:jc w:val="center"/>
        <w:rPr>
          <w:b/>
          <w:bCs/>
          <w:szCs w:val="22"/>
        </w:rPr>
      </w:pPr>
    </w:p>
    <w:p w14:paraId="003F7650" w14:textId="79794C6F" w:rsidR="00B554CA" w:rsidRPr="003E3AFD" w:rsidRDefault="00B554CA" w:rsidP="00B554CA">
      <w:pPr>
        <w:pStyle w:val="BodyText"/>
        <w:jc w:val="center"/>
        <w:rPr>
          <w:b/>
          <w:bCs/>
          <w:szCs w:val="22"/>
        </w:rPr>
      </w:pPr>
      <w:r w:rsidRPr="003E3AFD">
        <w:rPr>
          <w:b/>
          <w:bCs/>
          <w:szCs w:val="22"/>
        </w:rPr>
        <w:t xml:space="preserve">Application for </w:t>
      </w:r>
      <w:r>
        <w:rPr>
          <w:b/>
          <w:bCs/>
          <w:szCs w:val="22"/>
        </w:rPr>
        <w:t xml:space="preserve">Grant </w:t>
      </w:r>
      <w:r w:rsidRPr="003E3AFD">
        <w:rPr>
          <w:b/>
          <w:bCs/>
          <w:szCs w:val="22"/>
        </w:rPr>
        <w:t>Funding | 20</w:t>
      </w:r>
      <w:r>
        <w:rPr>
          <w:b/>
          <w:bCs/>
          <w:szCs w:val="22"/>
        </w:rPr>
        <w:t>23 - 2027</w:t>
      </w:r>
    </w:p>
    <w:p w14:paraId="1DAA84E0" w14:textId="63B8C817" w:rsidR="00B554CA" w:rsidRPr="003E3AFD" w:rsidRDefault="00B554CA" w:rsidP="00B554CA">
      <w:pPr>
        <w:pStyle w:val="BodyText"/>
        <w:spacing w:after="240"/>
        <w:jc w:val="center"/>
        <w:rPr>
          <w:b/>
          <w:bCs/>
          <w:szCs w:val="22"/>
        </w:rPr>
      </w:pPr>
      <w:r w:rsidRPr="000C4EA8">
        <w:rPr>
          <w:b/>
          <w:bCs/>
          <w:szCs w:val="22"/>
        </w:rPr>
        <w:t xml:space="preserve">WIOA Title II: Adult Education – </w:t>
      </w:r>
      <w:r w:rsidR="007C00F6">
        <w:rPr>
          <w:b/>
          <w:bCs/>
          <w:szCs w:val="22"/>
        </w:rPr>
        <w:t>Integrated English Literacy &amp; Civics Education</w:t>
      </w:r>
    </w:p>
    <w:tbl>
      <w:tblPr>
        <w:tblStyle w:val="TableGrid"/>
        <w:tblW w:w="9540" w:type="dxa"/>
        <w:tblInd w:w="-95" w:type="dxa"/>
        <w:tblLayout w:type="fixed"/>
        <w:tblCellMar>
          <w:top w:w="144" w:type="dxa"/>
          <w:left w:w="115" w:type="dxa"/>
          <w:right w:w="115" w:type="dxa"/>
        </w:tblCellMar>
        <w:tblLook w:val="04A0" w:firstRow="1" w:lastRow="0" w:firstColumn="1" w:lastColumn="0" w:noHBand="0" w:noVBand="1"/>
      </w:tblPr>
      <w:tblGrid>
        <w:gridCol w:w="9540"/>
      </w:tblGrid>
      <w:tr w:rsidR="0016082A" w:rsidRPr="003E3AFD" w14:paraId="764F514E" w14:textId="77777777" w:rsidTr="00611A16">
        <w:trPr>
          <w:trHeight w:val="753"/>
        </w:trPr>
        <w:tc>
          <w:tcPr>
            <w:tcW w:w="9540" w:type="dxa"/>
          </w:tcPr>
          <w:p w14:paraId="31B8467E" w14:textId="77777777" w:rsidR="00B554CA" w:rsidRDefault="00B554CA">
            <w:pPr>
              <w:pStyle w:val="BodyText"/>
              <w:spacing w:after="120"/>
              <w:rPr>
                <w:bCs/>
                <w:szCs w:val="22"/>
              </w:rPr>
            </w:pPr>
            <w:r>
              <w:rPr>
                <w:bCs/>
                <w:szCs w:val="22"/>
              </w:rPr>
              <w:t xml:space="preserve">Agency Name: </w:t>
            </w:r>
          </w:p>
          <w:p w14:paraId="05750BB8" w14:textId="77777777" w:rsidR="00B554CA" w:rsidRPr="003E3AFD" w:rsidRDefault="00B554CA">
            <w:pPr>
              <w:pStyle w:val="BodyText"/>
              <w:rPr>
                <w:bCs/>
                <w:szCs w:val="22"/>
              </w:rPr>
            </w:pPr>
          </w:p>
        </w:tc>
      </w:tr>
      <w:tr w:rsidR="0016082A" w:rsidRPr="003E3AFD" w14:paraId="1E2F8663" w14:textId="77777777" w:rsidTr="00611A16">
        <w:trPr>
          <w:trHeight w:val="753"/>
        </w:trPr>
        <w:tc>
          <w:tcPr>
            <w:tcW w:w="9540" w:type="dxa"/>
          </w:tcPr>
          <w:p w14:paraId="5BEF17C4" w14:textId="77777777" w:rsidR="00B554CA" w:rsidRPr="003E3AFD" w:rsidRDefault="00B554CA">
            <w:pPr>
              <w:pStyle w:val="BodyText"/>
              <w:rPr>
                <w:bCs/>
                <w:szCs w:val="22"/>
              </w:rPr>
            </w:pPr>
            <w:r w:rsidRPr="003E3AFD">
              <w:rPr>
                <w:bCs/>
                <w:szCs w:val="22"/>
              </w:rPr>
              <w:t>Address:</w:t>
            </w:r>
            <w:r>
              <w:rPr>
                <w:bCs/>
                <w:szCs w:val="22"/>
              </w:rPr>
              <w:t xml:space="preserve"> </w:t>
            </w:r>
          </w:p>
          <w:p w14:paraId="7E6FB2E9" w14:textId="77777777" w:rsidR="00B554CA" w:rsidRPr="003E3AFD" w:rsidRDefault="00B554CA">
            <w:pPr>
              <w:pStyle w:val="BodyText"/>
              <w:rPr>
                <w:bCs/>
                <w:szCs w:val="22"/>
              </w:rPr>
            </w:pPr>
          </w:p>
        </w:tc>
      </w:tr>
      <w:tr w:rsidR="0016082A" w:rsidRPr="003E3AFD" w14:paraId="5444087C" w14:textId="77777777" w:rsidTr="00611A16">
        <w:trPr>
          <w:trHeight w:val="753"/>
        </w:trPr>
        <w:tc>
          <w:tcPr>
            <w:tcW w:w="9540" w:type="dxa"/>
          </w:tcPr>
          <w:p w14:paraId="2043539E" w14:textId="77777777" w:rsidR="00B554CA" w:rsidRDefault="00B554CA">
            <w:pPr>
              <w:pStyle w:val="BodyText"/>
              <w:spacing w:after="80"/>
              <w:rPr>
                <w:bCs/>
                <w:szCs w:val="22"/>
              </w:rPr>
            </w:pPr>
            <w:r w:rsidRPr="003E3AFD">
              <w:rPr>
                <w:bCs/>
                <w:szCs w:val="22"/>
              </w:rPr>
              <w:t>Agenc</w:t>
            </w:r>
            <w:r>
              <w:rPr>
                <w:bCs/>
                <w:szCs w:val="22"/>
              </w:rPr>
              <w:t>y</w:t>
            </w:r>
            <w:r w:rsidRPr="003E3AFD">
              <w:rPr>
                <w:bCs/>
                <w:szCs w:val="22"/>
              </w:rPr>
              <w:t xml:space="preserve"> DUNS Numbe</w:t>
            </w:r>
            <w:r>
              <w:rPr>
                <w:bCs/>
                <w:szCs w:val="22"/>
              </w:rPr>
              <w:t xml:space="preserve">r: </w:t>
            </w:r>
          </w:p>
          <w:p w14:paraId="51EB8B18" w14:textId="77777777" w:rsidR="00B554CA" w:rsidRDefault="00B554CA">
            <w:pPr>
              <w:pStyle w:val="BodyText"/>
              <w:rPr>
                <w:bCs/>
                <w:szCs w:val="22"/>
              </w:rPr>
            </w:pPr>
          </w:p>
        </w:tc>
      </w:tr>
      <w:tr w:rsidR="0016082A" w:rsidRPr="003E3AFD" w14:paraId="4E4D8970" w14:textId="77777777" w:rsidTr="00611A16">
        <w:trPr>
          <w:trHeight w:val="753"/>
        </w:trPr>
        <w:tc>
          <w:tcPr>
            <w:tcW w:w="9540" w:type="dxa"/>
          </w:tcPr>
          <w:p w14:paraId="5106650C" w14:textId="77777777" w:rsidR="00B554CA" w:rsidRPr="003E3AFD" w:rsidRDefault="00B554CA">
            <w:pPr>
              <w:pStyle w:val="BodyText"/>
              <w:rPr>
                <w:bCs/>
                <w:szCs w:val="22"/>
              </w:rPr>
            </w:pPr>
            <w:r w:rsidRPr="003E3AFD">
              <w:rPr>
                <w:bCs/>
                <w:szCs w:val="22"/>
              </w:rPr>
              <w:t>Chief Executive or Administrator Name and Title:</w:t>
            </w:r>
            <w:r>
              <w:rPr>
                <w:bCs/>
                <w:szCs w:val="22"/>
              </w:rPr>
              <w:t xml:space="preserve"> </w:t>
            </w:r>
          </w:p>
          <w:p w14:paraId="7D5F5BB1" w14:textId="77777777" w:rsidR="00B554CA" w:rsidRPr="003E3AFD" w:rsidRDefault="00B554CA">
            <w:pPr>
              <w:pStyle w:val="BodyText"/>
              <w:rPr>
                <w:bCs/>
                <w:szCs w:val="22"/>
              </w:rPr>
            </w:pPr>
          </w:p>
        </w:tc>
      </w:tr>
      <w:tr w:rsidR="0016082A" w:rsidRPr="003E3AFD" w14:paraId="095F5242" w14:textId="77777777" w:rsidTr="00611A16">
        <w:trPr>
          <w:trHeight w:val="753"/>
        </w:trPr>
        <w:tc>
          <w:tcPr>
            <w:tcW w:w="9540" w:type="dxa"/>
          </w:tcPr>
          <w:p w14:paraId="0F9E7C82" w14:textId="77777777" w:rsidR="00B554CA" w:rsidRPr="003E3AFD" w:rsidRDefault="00B554CA">
            <w:pPr>
              <w:pStyle w:val="BodyText"/>
              <w:rPr>
                <w:bCs/>
                <w:szCs w:val="22"/>
              </w:rPr>
            </w:pPr>
            <w:r w:rsidRPr="003E3AFD">
              <w:rPr>
                <w:bCs/>
                <w:szCs w:val="22"/>
              </w:rPr>
              <w:t>Email:</w:t>
            </w:r>
            <w:r>
              <w:rPr>
                <w:bCs/>
                <w:szCs w:val="22"/>
              </w:rPr>
              <w:t xml:space="preserve"> </w:t>
            </w:r>
          </w:p>
          <w:p w14:paraId="4E1B5381" w14:textId="77777777" w:rsidR="00B554CA" w:rsidRPr="003E3AFD" w:rsidRDefault="00B554CA">
            <w:pPr>
              <w:pStyle w:val="BodyText"/>
              <w:rPr>
                <w:bCs/>
                <w:szCs w:val="22"/>
              </w:rPr>
            </w:pPr>
          </w:p>
        </w:tc>
      </w:tr>
      <w:tr w:rsidR="0016082A" w:rsidRPr="003E3AFD" w14:paraId="7BA41EC9" w14:textId="77777777" w:rsidTr="00611A16">
        <w:trPr>
          <w:trHeight w:val="753"/>
        </w:trPr>
        <w:tc>
          <w:tcPr>
            <w:tcW w:w="9540" w:type="dxa"/>
          </w:tcPr>
          <w:p w14:paraId="28E37203" w14:textId="77777777" w:rsidR="00B554CA" w:rsidRPr="003E3AFD" w:rsidRDefault="00B554CA">
            <w:pPr>
              <w:pStyle w:val="BodyText"/>
              <w:rPr>
                <w:bCs/>
                <w:szCs w:val="22"/>
              </w:rPr>
            </w:pPr>
            <w:r w:rsidRPr="003E3AFD">
              <w:rPr>
                <w:bCs/>
                <w:szCs w:val="22"/>
              </w:rPr>
              <w:t>Phone:</w:t>
            </w:r>
            <w:r>
              <w:rPr>
                <w:bCs/>
                <w:szCs w:val="22"/>
              </w:rPr>
              <w:t xml:space="preserve"> </w:t>
            </w:r>
          </w:p>
          <w:p w14:paraId="3899B43B" w14:textId="77777777" w:rsidR="00B554CA" w:rsidRPr="003E3AFD" w:rsidRDefault="00B554CA">
            <w:pPr>
              <w:pStyle w:val="BodyText"/>
              <w:rPr>
                <w:bCs/>
                <w:szCs w:val="22"/>
              </w:rPr>
            </w:pPr>
          </w:p>
        </w:tc>
      </w:tr>
      <w:tr w:rsidR="0016082A" w:rsidRPr="003E3AFD" w14:paraId="7B6C2710" w14:textId="77777777">
        <w:trPr>
          <w:trHeight w:val="2078"/>
        </w:trPr>
        <w:tc>
          <w:tcPr>
            <w:tcW w:w="9540" w:type="dxa"/>
          </w:tcPr>
          <w:p w14:paraId="623DFFAD" w14:textId="77777777" w:rsidR="00B554CA" w:rsidRPr="003E3AFD" w:rsidRDefault="00B554CA">
            <w:pPr>
              <w:pStyle w:val="BodyText"/>
              <w:spacing w:after="120"/>
              <w:rPr>
                <w:b/>
                <w:bCs/>
                <w:szCs w:val="22"/>
                <w:u w:val="single"/>
              </w:rPr>
            </w:pPr>
            <w:r w:rsidRPr="003E3AFD">
              <w:rPr>
                <w:bCs/>
                <w:szCs w:val="22"/>
                <w:u w:val="single"/>
              </w:rPr>
              <w:t>Application Contact Person (if different from above)</w:t>
            </w:r>
          </w:p>
          <w:p w14:paraId="7F867705" w14:textId="77777777" w:rsidR="00B554CA" w:rsidRPr="003E3AFD" w:rsidRDefault="00B554CA">
            <w:pPr>
              <w:pStyle w:val="BodyText"/>
              <w:rPr>
                <w:bCs/>
                <w:szCs w:val="22"/>
              </w:rPr>
            </w:pPr>
            <w:r w:rsidRPr="003E3AFD">
              <w:rPr>
                <w:bCs/>
                <w:szCs w:val="22"/>
              </w:rPr>
              <w:t xml:space="preserve">Name and Title: </w:t>
            </w:r>
          </w:p>
          <w:p w14:paraId="6490FF96" w14:textId="77777777" w:rsidR="00B554CA" w:rsidRPr="003E3AFD" w:rsidRDefault="00B554CA">
            <w:pPr>
              <w:pStyle w:val="BodyText"/>
              <w:rPr>
                <w:bCs/>
                <w:szCs w:val="22"/>
              </w:rPr>
            </w:pPr>
            <w:r w:rsidRPr="003E3AFD">
              <w:rPr>
                <w:bCs/>
                <w:szCs w:val="22"/>
              </w:rPr>
              <w:br/>
              <w:t>Email:</w:t>
            </w:r>
            <w:r>
              <w:rPr>
                <w:bCs/>
                <w:szCs w:val="22"/>
              </w:rPr>
              <w:t xml:space="preserve"> </w:t>
            </w:r>
          </w:p>
          <w:p w14:paraId="29AA189A" w14:textId="77777777" w:rsidR="00B554CA" w:rsidRPr="003E3AFD" w:rsidRDefault="00B554CA">
            <w:pPr>
              <w:pStyle w:val="BodyText"/>
              <w:rPr>
                <w:bCs/>
                <w:szCs w:val="22"/>
              </w:rPr>
            </w:pPr>
          </w:p>
          <w:p w14:paraId="7D7E9020" w14:textId="77777777" w:rsidR="00B554CA" w:rsidRPr="003E3AFD" w:rsidRDefault="00B554CA">
            <w:pPr>
              <w:pStyle w:val="BodyText"/>
              <w:rPr>
                <w:bCs/>
                <w:szCs w:val="22"/>
              </w:rPr>
            </w:pPr>
            <w:r w:rsidRPr="003E3AFD">
              <w:rPr>
                <w:bCs/>
                <w:szCs w:val="22"/>
              </w:rPr>
              <w:t>Phone:</w:t>
            </w:r>
            <w:r>
              <w:rPr>
                <w:bCs/>
                <w:szCs w:val="22"/>
              </w:rPr>
              <w:t xml:space="preserve"> </w:t>
            </w:r>
          </w:p>
        </w:tc>
      </w:tr>
      <w:tr w:rsidR="0016082A" w:rsidRPr="003E3AFD" w14:paraId="71C3AEFD" w14:textId="77777777">
        <w:trPr>
          <w:trHeight w:val="1124"/>
        </w:trPr>
        <w:tc>
          <w:tcPr>
            <w:tcW w:w="9540" w:type="dxa"/>
          </w:tcPr>
          <w:p w14:paraId="7F23925C" w14:textId="0F7AA3B2" w:rsidR="00B554CA" w:rsidRPr="003E3AFD" w:rsidRDefault="00B554CA">
            <w:pPr>
              <w:pStyle w:val="BodyText"/>
              <w:rPr>
                <w:bCs/>
                <w:szCs w:val="22"/>
              </w:rPr>
            </w:pPr>
            <w:r>
              <w:rPr>
                <w:bCs/>
                <w:szCs w:val="22"/>
              </w:rPr>
              <w:t>County or counties proposed</w:t>
            </w:r>
            <w:r w:rsidRPr="003E3AFD">
              <w:rPr>
                <w:bCs/>
                <w:szCs w:val="22"/>
              </w:rPr>
              <w:t>:</w:t>
            </w:r>
            <w:r w:rsidR="00611A16">
              <w:rPr>
                <w:bCs/>
                <w:szCs w:val="22"/>
              </w:rPr>
              <w:t xml:space="preserve"> </w:t>
            </w:r>
          </w:p>
          <w:p w14:paraId="12B2D5E0" w14:textId="77777777" w:rsidR="00B554CA" w:rsidRPr="003E3AFD" w:rsidRDefault="00B554CA">
            <w:pPr>
              <w:pStyle w:val="BodyText"/>
              <w:rPr>
                <w:bCs/>
                <w:szCs w:val="22"/>
              </w:rPr>
            </w:pPr>
          </w:p>
        </w:tc>
      </w:tr>
      <w:tr w:rsidR="0016082A" w:rsidRPr="003E3AFD" w14:paraId="659E01AB" w14:textId="77777777">
        <w:trPr>
          <w:trHeight w:val="1196"/>
        </w:trPr>
        <w:tc>
          <w:tcPr>
            <w:tcW w:w="9540" w:type="dxa"/>
          </w:tcPr>
          <w:p w14:paraId="27182DB3" w14:textId="70957126" w:rsidR="00B554CA" w:rsidRPr="003E3AFD" w:rsidRDefault="00DE6979" w:rsidP="00DE6979">
            <w:pPr>
              <w:pStyle w:val="BodyText"/>
              <w:rPr>
                <w:bCs/>
                <w:szCs w:val="22"/>
              </w:rPr>
            </w:pPr>
            <w:r>
              <w:rPr>
                <w:bCs/>
                <w:szCs w:val="22"/>
              </w:rPr>
              <w:t>IELCE</w:t>
            </w:r>
            <w:r w:rsidR="000F7169">
              <w:rPr>
                <w:bCs/>
                <w:szCs w:val="22"/>
              </w:rPr>
              <w:t xml:space="preserve"> f</w:t>
            </w:r>
            <w:r w:rsidR="00B554CA">
              <w:rPr>
                <w:bCs/>
                <w:szCs w:val="22"/>
              </w:rPr>
              <w:t>unding amount proposed: $</w:t>
            </w:r>
          </w:p>
        </w:tc>
      </w:tr>
    </w:tbl>
    <w:p w14:paraId="7B9A4BDF" w14:textId="77777777" w:rsidR="00B554CA" w:rsidRDefault="00B554CA" w:rsidP="00B554CA">
      <w:pPr>
        <w:pStyle w:val="BodyText"/>
        <w:spacing w:after="600"/>
        <w:rPr>
          <w:b/>
          <w:bCs/>
          <w:szCs w:val="22"/>
        </w:rPr>
        <w:sectPr w:rsidR="00B554CA" w:rsidSect="00EB36A0">
          <w:headerReference w:type="default" r:id="rId52"/>
          <w:pgSz w:w="12240" w:h="15840" w:code="1"/>
          <w:pgMar w:top="1440" w:right="1440" w:bottom="1440" w:left="1440" w:header="720" w:footer="720" w:gutter="0"/>
          <w:cols w:space="720"/>
          <w:docGrid w:linePitch="360"/>
        </w:sectPr>
      </w:pPr>
    </w:p>
    <w:p w14:paraId="74620DBE" w14:textId="081074C1" w:rsidR="00B81FBD" w:rsidRDefault="00B81FBD" w:rsidP="00B81FBD">
      <w:pPr>
        <w:pStyle w:val="Heading1"/>
        <w:keepNext w:val="0"/>
        <w:keepLines/>
        <w:rPr>
          <w:rFonts w:ascii="Open Sans" w:eastAsia="Calibri" w:hAnsi="Open Sans"/>
        </w:rPr>
      </w:pPr>
      <w:bookmarkStart w:id="57" w:name="_Toc128579631"/>
      <w:r w:rsidRPr="00EE7081">
        <w:rPr>
          <w:rFonts w:ascii="Open Sans" w:eastAsia="Calibri" w:hAnsi="Open Sans"/>
        </w:rPr>
        <w:lastRenderedPageBreak/>
        <w:t>Appendix</w:t>
      </w:r>
      <w:r>
        <w:rPr>
          <w:rFonts w:ascii="Open Sans" w:eastAsia="Calibri" w:hAnsi="Open Sans"/>
        </w:rPr>
        <w:t xml:space="preserve"> </w:t>
      </w:r>
      <w:r w:rsidR="00B554CA">
        <w:rPr>
          <w:rFonts w:ascii="Open Sans" w:eastAsia="Calibri" w:hAnsi="Open Sans"/>
        </w:rPr>
        <w:t>C</w:t>
      </w:r>
      <w:r>
        <w:rPr>
          <w:rFonts w:ascii="Open Sans" w:eastAsia="Calibri" w:hAnsi="Open Sans"/>
        </w:rPr>
        <w:t xml:space="preserve">: </w:t>
      </w:r>
      <w:r w:rsidR="00FD28DA">
        <w:rPr>
          <w:rFonts w:ascii="Open Sans" w:eastAsia="Calibri" w:hAnsi="Open Sans"/>
        </w:rPr>
        <w:t>Budget Guidance</w:t>
      </w:r>
      <w:bookmarkEnd w:id="57"/>
    </w:p>
    <w:p w14:paraId="596DC9AB" w14:textId="109D9A21" w:rsidR="00E25A5C" w:rsidRPr="00E25A5C" w:rsidRDefault="00E25A5C" w:rsidP="008B0B0F">
      <w:pPr>
        <w:pStyle w:val="Heading3"/>
        <w:rPr>
          <w:b w:val="0"/>
          <w:bCs/>
        </w:rPr>
      </w:pPr>
    </w:p>
    <w:p w14:paraId="699634F2" w14:textId="1AEC1FEA" w:rsidR="00607CBB" w:rsidRDefault="00607CBB" w:rsidP="00425557">
      <w:pPr>
        <w:keepLines/>
        <w:contextualSpacing/>
      </w:pPr>
      <w:r>
        <w:t xml:space="preserve">Applicants must complete and submit a budget proposal to accompany their </w:t>
      </w:r>
      <w:r w:rsidR="00B97652">
        <w:t xml:space="preserve">grant </w:t>
      </w:r>
      <w:r>
        <w:t>application.</w:t>
      </w:r>
      <w:r w:rsidR="00B97652">
        <w:t xml:space="preserve"> This </w:t>
      </w:r>
      <w:r w:rsidR="00FF1763">
        <w:t>budget</w:t>
      </w:r>
      <w:r w:rsidR="00B97652">
        <w:t xml:space="preserve"> </w:t>
      </w:r>
      <w:r w:rsidR="00677490">
        <w:t>provide</w:t>
      </w:r>
      <w:r w:rsidR="007D65D4">
        <w:t>s</w:t>
      </w:r>
      <w:r w:rsidR="00677490">
        <w:t xml:space="preserve"> the details </w:t>
      </w:r>
      <w:r w:rsidR="0045550D">
        <w:t>that correspond</w:t>
      </w:r>
      <w:r w:rsidR="00677490">
        <w:t xml:space="preserve"> with the </w:t>
      </w:r>
      <w:r w:rsidR="00FA42FC">
        <w:t xml:space="preserve">total yearly funding amount </w:t>
      </w:r>
      <w:r w:rsidR="00FF1763">
        <w:t>proposed</w:t>
      </w:r>
      <w:r w:rsidR="00677490">
        <w:t xml:space="preserve"> </w:t>
      </w:r>
      <w:r w:rsidR="007D65D4">
        <w:t>by an applicant.</w:t>
      </w:r>
      <w:r>
        <w:t xml:space="preserve"> </w:t>
      </w:r>
      <w:r w:rsidR="0071756C">
        <w:t>The budget should be based on anticipated costs in the first year of the grant</w:t>
      </w:r>
      <w:r w:rsidR="008D3B31">
        <w:t xml:space="preserve"> (costs should be for an annual amount)</w:t>
      </w:r>
      <w:r w:rsidR="00B57B13">
        <w:t xml:space="preserve">. </w:t>
      </w:r>
      <w:r w:rsidR="00FD7915">
        <w:t>The guidance below provides details concerning</w:t>
      </w:r>
      <w:r w:rsidR="00D66175">
        <w:t xml:space="preserve"> </w:t>
      </w:r>
      <w:r w:rsidR="00FD7915">
        <w:t>various cost categories</w:t>
      </w:r>
      <w:r w:rsidR="00425557">
        <w:t xml:space="preserve"> and estimates</w:t>
      </w:r>
      <w:r w:rsidR="00D66175">
        <w:t xml:space="preserve">. </w:t>
      </w:r>
      <w:r w:rsidR="006F3D48">
        <w:t>There is also a</w:t>
      </w:r>
      <w:r w:rsidR="00D14C48">
        <w:t>n example</w:t>
      </w:r>
      <w:r w:rsidR="006F3D48">
        <w:t xml:space="preserve"> budget proposal</w:t>
      </w:r>
      <w:r w:rsidR="00512C58">
        <w:t xml:space="preserve"> provided</w:t>
      </w:r>
      <w:r w:rsidR="006F3D48">
        <w:t>.</w:t>
      </w:r>
    </w:p>
    <w:p w14:paraId="556FEDC8" w14:textId="77777777" w:rsidR="00425557" w:rsidRDefault="00425557" w:rsidP="00425557">
      <w:pPr>
        <w:keepLines/>
        <w:contextualSpacing/>
      </w:pPr>
    </w:p>
    <w:p w14:paraId="75EB297D" w14:textId="5108CD93" w:rsidR="00E55389" w:rsidRDefault="00E55389" w:rsidP="00E55389">
      <w:pPr>
        <w:pStyle w:val="Heading2"/>
      </w:pPr>
      <w:bookmarkStart w:id="58" w:name="_Toc128579632"/>
      <w:r>
        <w:t>Budget Proposal</w:t>
      </w:r>
      <w:r w:rsidR="00476FDA">
        <w:t xml:space="preserve">: Spreadsheet </w:t>
      </w:r>
      <w:r>
        <w:t>and Narrative</w:t>
      </w:r>
      <w:bookmarkEnd w:id="58"/>
    </w:p>
    <w:p w14:paraId="59A3894F" w14:textId="77777777" w:rsidR="00E55389" w:rsidRPr="00C21E60" w:rsidRDefault="00E55389" w:rsidP="00E55389"/>
    <w:p w14:paraId="71D780ED" w14:textId="2793C4AF" w:rsidR="00E55389" w:rsidRDefault="00E55389" w:rsidP="00E55389">
      <w:r>
        <w:t xml:space="preserve">Applicants must complete and submit a budget proposal </w:t>
      </w:r>
      <w:r w:rsidR="009A14E3">
        <w:t xml:space="preserve">spreadsheet </w:t>
      </w:r>
      <w:r>
        <w:t xml:space="preserve">and narrative to accompany their grant application. </w:t>
      </w:r>
      <w:r w:rsidR="009375D0">
        <w:t xml:space="preserve">TDLWD has provided an example budget spreadsheet and narrative that applicants should use </w:t>
      </w:r>
      <w:r w:rsidR="00D37F8F">
        <w:t xml:space="preserve">as a template </w:t>
      </w:r>
      <w:r w:rsidR="009375D0">
        <w:t>to create their own.</w:t>
      </w:r>
    </w:p>
    <w:p w14:paraId="7379ED25" w14:textId="77777777" w:rsidR="00E55389" w:rsidRDefault="00E55389" w:rsidP="00E55389"/>
    <w:p w14:paraId="278B97C2" w14:textId="4837DCF5" w:rsidR="00E55389" w:rsidRDefault="00000000" w:rsidP="00E55389">
      <w:pPr>
        <w:rPr>
          <w:b/>
          <w:bCs/>
        </w:rPr>
      </w:pPr>
      <w:hyperlink r:id="rId53" w:history="1">
        <w:r w:rsidR="00E55389" w:rsidRPr="00CE0448">
          <w:rPr>
            <w:rStyle w:val="Hyperlink"/>
            <w:b/>
            <w:bCs/>
          </w:rPr>
          <w:t xml:space="preserve">Click here for link to example budget </w:t>
        </w:r>
        <w:r w:rsidR="00F82372" w:rsidRPr="00CE0448">
          <w:rPr>
            <w:rStyle w:val="Hyperlink"/>
            <w:b/>
            <w:bCs/>
          </w:rPr>
          <w:t>spreadsheet</w:t>
        </w:r>
        <w:r w:rsidR="00B34AA8" w:rsidRPr="00CE0448">
          <w:rPr>
            <w:rStyle w:val="Hyperlink"/>
            <w:b/>
            <w:bCs/>
          </w:rPr>
          <w:t xml:space="preserve"> and narrative</w:t>
        </w:r>
      </w:hyperlink>
    </w:p>
    <w:p w14:paraId="73D55E19" w14:textId="77777777" w:rsidR="00E55389" w:rsidRDefault="00E55389" w:rsidP="00E55389"/>
    <w:p w14:paraId="465D42BB" w14:textId="2A77509E" w:rsidR="00BF0E47" w:rsidRDefault="00E55389" w:rsidP="00E55389">
      <w:r>
        <w:t xml:space="preserve">Applicants should complete the budget </w:t>
      </w:r>
      <w:r w:rsidR="00CB279D">
        <w:t>spreadsheet and narrative</w:t>
      </w:r>
      <w:r>
        <w:t xml:space="preserve"> using the </w:t>
      </w:r>
      <w:r w:rsidR="00C5728C">
        <w:t xml:space="preserve">examples provided and the cost estimates below. </w:t>
      </w:r>
      <w:r w:rsidR="00487089">
        <w:t xml:space="preserve">The examples and estimates are general by design; applicants </w:t>
      </w:r>
      <w:r w:rsidR="00B966E2">
        <w:t>should use their</w:t>
      </w:r>
      <w:r>
        <w:t xml:space="preserve"> best judgement </w:t>
      </w:r>
      <w:r w:rsidR="00CB279D">
        <w:t>to determine</w:t>
      </w:r>
      <w:r>
        <w:t xml:space="preserve"> </w:t>
      </w:r>
      <w:r w:rsidR="00487089">
        <w:t xml:space="preserve">specific </w:t>
      </w:r>
      <w:r>
        <w:t>anticipated costs.</w:t>
      </w:r>
    </w:p>
    <w:p w14:paraId="62974103" w14:textId="77777777" w:rsidR="00BF0E47" w:rsidRDefault="00BF0E47" w:rsidP="00E55389"/>
    <w:p w14:paraId="7A4C4515" w14:textId="4622E0B7" w:rsidR="00A820FF" w:rsidRDefault="00A820FF" w:rsidP="00A820FF">
      <w:pPr>
        <w:pStyle w:val="Heading3"/>
      </w:pPr>
      <w:r>
        <w:t>Budget Spreadsheet</w:t>
      </w:r>
    </w:p>
    <w:p w14:paraId="1E16E310" w14:textId="77777777" w:rsidR="00A820FF" w:rsidRPr="00A820FF" w:rsidRDefault="00A820FF" w:rsidP="00A820FF"/>
    <w:p w14:paraId="2FC9A9DF" w14:textId="77777777" w:rsidR="00FA6B4C" w:rsidRDefault="00FA6B4C" w:rsidP="00FA6B4C">
      <w:r>
        <w:t>For the budget spreadsheet, applicants should download the example spreadsheet file and modify it for their proposal. Applicants should delete example information and add rows/columns as necessary (e.g., breaking out personnel costs into more detail if desired—a row per employee, or columns to detail each of the benefits; including other personnel positions; including additional program development costs, etc.)</w:t>
      </w:r>
    </w:p>
    <w:p w14:paraId="3F0D606E" w14:textId="77777777" w:rsidR="00A820FF" w:rsidRDefault="00A820FF" w:rsidP="00A820FF">
      <w:pPr>
        <w:pStyle w:val="Heading3"/>
      </w:pPr>
    </w:p>
    <w:p w14:paraId="1306B3F5" w14:textId="39C2B56B" w:rsidR="00A820FF" w:rsidRDefault="00A820FF" w:rsidP="00A820FF">
      <w:pPr>
        <w:pStyle w:val="Heading3"/>
      </w:pPr>
      <w:r>
        <w:t>Budget Narrative</w:t>
      </w:r>
    </w:p>
    <w:p w14:paraId="072CCC6E" w14:textId="77777777" w:rsidR="009A14E3" w:rsidRDefault="009A14E3" w:rsidP="00E55389"/>
    <w:p w14:paraId="08B0BE98" w14:textId="6DB6170D" w:rsidR="00722D90" w:rsidRDefault="008D0F46" w:rsidP="00E55389">
      <w:r>
        <w:t xml:space="preserve">The budget narrative is “Part 1” of the application. </w:t>
      </w:r>
      <w:r>
        <w:t>It</w:t>
      </w:r>
      <w:r w:rsidR="00266871">
        <w:t xml:space="preserve"> should </w:t>
      </w:r>
      <w:r w:rsidR="000D6B9F">
        <w:t>indicate the potential-to-serve population</w:t>
      </w:r>
      <w:r w:rsidR="00B85DC0">
        <w:t xml:space="preserve">. It should </w:t>
      </w:r>
      <w:r w:rsidR="00266871">
        <w:t>describe</w:t>
      </w:r>
      <w:r w:rsidR="00E55389">
        <w:t xml:space="preserve"> how the applicant plans to structure classes</w:t>
      </w:r>
      <w:r w:rsidR="004B0364">
        <w:t xml:space="preserve"> </w:t>
      </w:r>
      <w:r w:rsidR="00391D94">
        <w:t>and teaching personnel</w:t>
      </w:r>
      <w:r w:rsidR="004F7889">
        <w:t>;</w:t>
      </w:r>
      <w:r w:rsidR="00E55389">
        <w:t xml:space="preserve"> support functions</w:t>
      </w:r>
      <w:r w:rsidR="004B0364">
        <w:t xml:space="preserve"> and </w:t>
      </w:r>
      <w:r w:rsidR="00391D94">
        <w:t>personnel</w:t>
      </w:r>
      <w:r w:rsidR="004F7889">
        <w:t>;</w:t>
      </w:r>
      <w:r w:rsidR="00E55389">
        <w:t xml:space="preserve"> and </w:t>
      </w:r>
      <w:r w:rsidR="00E96DEF">
        <w:t>program development</w:t>
      </w:r>
      <w:r w:rsidR="004F7889">
        <w:t xml:space="preserve">, office, </w:t>
      </w:r>
      <w:r w:rsidR="00390A1B">
        <w:t xml:space="preserve">facilities, </w:t>
      </w:r>
      <w:r w:rsidR="004F7889">
        <w:t>and admin support c</w:t>
      </w:r>
      <w:r w:rsidR="00E55389">
        <w:t>omponents in a way that justifies the budget proposed</w:t>
      </w:r>
      <w:r w:rsidR="004F7889">
        <w:t>. T</w:t>
      </w:r>
      <w:r w:rsidR="00E55389">
        <w:t xml:space="preserve">his is especially important in justifying costs that are significantly above or below the estimates provided </w:t>
      </w:r>
      <w:r w:rsidR="000B5CFB">
        <w:t>below</w:t>
      </w:r>
      <w:r w:rsidR="00E55389">
        <w:t xml:space="preserve"> by TDLWD.</w:t>
      </w:r>
    </w:p>
    <w:p w14:paraId="7D9F4FF2" w14:textId="77777777" w:rsidR="00722D90" w:rsidRDefault="00722D90">
      <w:r>
        <w:br w:type="page"/>
      </w:r>
    </w:p>
    <w:p w14:paraId="2247613A" w14:textId="60737AA0" w:rsidR="009F3E8A" w:rsidRDefault="00E55389" w:rsidP="00E55389">
      <w:pPr>
        <w:pStyle w:val="Heading2"/>
      </w:pPr>
      <w:bookmarkStart w:id="59" w:name="_Toc128579633"/>
      <w:r>
        <w:lastRenderedPageBreak/>
        <w:t>Cost Estimates</w:t>
      </w:r>
      <w:bookmarkEnd w:id="59"/>
    </w:p>
    <w:p w14:paraId="69D9B7C3" w14:textId="77777777" w:rsidR="00E55389" w:rsidRPr="00E55389" w:rsidRDefault="00E55389" w:rsidP="00E55389"/>
    <w:p w14:paraId="241B51E5" w14:textId="5F44ACE5" w:rsidR="00641AA1" w:rsidRDefault="00EC525D" w:rsidP="00161E30">
      <w:pPr>
        <w:pStyle w:val="Heading3"/>
      </w:pPr>
      <w:r>
        <w:t xml:space="preserve">Personnel </w:t>
      </w:r>
      <w:r w:rsidR="006A1D2A">
        <w:t>Salary</w:t>
      </w:r>
      <w:r w:rsidR="00A04799">
        <w:t xml:space="preserve"> &amp; Wages</w:t>
      </w:r>
      <w:r w:rsidR="006A1D2A">
        <w:t xml:space="preserve"> </w:t>
      </w:r>
      <w:r w:rsidR="00161E30">
        <w:t>Cost Estimates</w:t>
      </w:r>
    </w:p>
    <w:p w14:paraId="33CE0A93" w14:textId="77777777" w:rsidR="00704FED" w:rsidRDefault="00704FED" w:rsidP="00704FED"/>
    <w:p w14:paraId="14E8D9E3" w14:textId="20CA7BBC" w:rsidR="00704FED" w:rsidRPr="00C6372C" w:rsidRDefault="00704FED" w:rsidP="00704FED">
      <w:r>
        <w:t xml:space="preserve">Grant-holding agencies must determine employee </w:t>
      </w:r>
      <w:r w:rsidR="00101368">
        <w:t xml:space="preserve">positions, </w:t>
      </w:r>
      <w:r>
        <w:t>salaries</w:t>
      </w:r>
      <w:r w:rsidR="00101368">
        <w:t>,</w:t>
      </w:r>
      <w:r>
        <w:t xml:space="preserve"> and wages</w:t>
      </w:r>
      <w:r w:rsidR="00101368">
        <w:t>.</w:t>
      </w:r>
      <w:r>
        <w:t xml:space="preserve"> However, if guidance is needed concerning what is “typical”</w:t>
      </w:r>
      <w:r w:rsidR="00C6372C">
        <w:t xml:space="preserve"> or possible</w:t>
      </w:r>
      <w:r>
        <w:t xml:space="preserve"> for local adult education staff, TDLWD has provided the following salary and wage ranges</w:t>
      </w:r>
      <w:r w:rsidR="00C6372C">
        <w:t xml:space="preserve">. These </w:t>
      </w:r>
      <w:r>
        <w:t>are based on results from a 2023 salary survey of the state’s adult education providers, budget trends, and the need to ensure adult education programs attract and retain high-quality staff.</w:t>
      </w:r>
      <w:r w:rsidR="00C6372C">
        <w:t xml:space="preserve"> These ranges are for general guidance </w:t>
      </w:r>
      <w:r w:rsidR="00D2777D">
        <w:t>only and</w:t>
      </w:r>
      <w:r w:rsidR="00C6372C">
        <w:t xml:space="preserve"> are </w:t>
      </w:r>
      <w:r w:rsidR="00C6372C">
        <w:rPr>
          <w:i/>
          <w:iCs/>
        </w:rPr>
        <w:t>not</w:t>
      </w:r>
      <w:r w:rsidR="00C6372C">
        <w:t xml:space="preserve"> to be </w:t>
      </w:r>
      <w:r w:rsidR="00643150">
        <w:t xml:space="preserve">interpreted as </w:t>
      </w:r>
      <w:r w:rsidR="00836C59">
        <w:t xml:space="preserve">requirements from </w:t>
      </w:r>
      <w:r w:rsidR="00643150">
        <w:t xml:space="preserve">TDLWD. However, TDLWD does expect for agencies to attempt to be within or close to </w:t>
      </w:r>
      <w:r w:rsidR="00315C44">
        <w:t>the provided ranges, unless exceptional circumstances warrant it.</w:t>
      </w:r>
    </w:p>
    <w:p w14:paraId="43FB8BBE" w14:textId="77777777" w:rsidR="00704FED" w:rsidRDefault="00704FED" w:rsidP="00704FED"/>
    <w:tbl>
      <w:tblPr>
        <w:tblStyle w:val="TableGrid"/>
        <w:tblW w:w="0" w:type="auto"/>
        <w:tblLook w:val="04A0" w:firstRow="1" w:lastRow="0" w:firstColumn="1" w:lastColumn="0" w:noHBand="0" w:noVBand="1"/>
      </w:tblPr>
      <w:tblGrid>
        <w:gridCol w:w="3415"/>
        <w:gridCol w:w="2818"/>
        <w:gridCol w:w="3117"/>
      </w:tblGrid>
      <w:tr w:rsidR="00D93C4B" w14:paraId="1837FA74" w14:textId="77777777" w:rsidTr="00DA7913">
        <w:tc>
          <w:tcPr>
            <w:tcW w:w="3415" w:type="dxa"/>
          </w:tcPr>
          <w:p w14:paraId="1143D818" w14:textId="77777777" w:rsidR="00D93C4B" w:rsidRPr="00C741B5" w:rsidRDefault="00D93C4B" w:rsidP="00DA7913">
            <w:pPr>
              <w:rPr>
                <w:b/>
                <w:bCs/>
              </w:rPr>
            </w:pPr>
          </w:p>
        </w:tc>
        <w:tc>
          <w:tcPr>
            <w:tcW w:w="2818" w:type="dxa"/>
          </w:tcPr>
          <w:p w14:paraId="72C5D4AE" w14:textId="77777777" w:rsidR="00D93C4B" w:rsidRPr="00B2508F" w:rsidRDefault="00D93C4B" w:rsidP="00DA7913">
            <w:pPr>
              <w:rPr>
                <w:b/>
                <w:bCs/>
              </w:rPr>
            </w:pPr>
            <w:r w:rsidRPr="00B2508F">
              <w:rPr>
                <w:b/>
                <w:bCs/>
              </w:rPr>
              <w:t>Low End</w:t>
            </w:r>
          </w:p>
        </w:tc>
        <w:tc>
          <w:tcPr>
            <w:tcW w:w="3117" w:type="dxa"/>
          </w:tcPr>
          <w:p w14:paraId="2A7CFE64" w14:textId="77777777" w:rsidR="00D93C4B" w:rsidRPr="00B2508F" w:rsidRDefault="00D93C4B" w:rsidP="00DA7913">
            <w:pPr>
              <w:rPr>
                <w:b/>
                <w:bCs/>
              </w:rPr>
            </w:pPr>
            <w:r w:rsidRPr="00B2508F">
              <w:rPr>
                <w:b/>
                <w:bCs/>
              </w:rPr>
              <w:t>High End</w:t>
            </w:r>
          </w:p>
        </w:tc>
      </w:tr>
      <w:tr w:rsidR="00D93C4B" w14:paraId="759E06C1" w14:textId="77777777" w:rsidTr="00DA7913">
        <w:tc>
          <w:tcPr>
            <w:tcW w:w="3415" w:type="dxa"/>
          </w:tcPr>
          <w:p w14:paraId="368FE97E" w14:textId="77777777" w:rsidR="00D93C4B" w:rsidRPr="00B2508F" w:rsidRDefault="00D93C4B" w:rsidP="00DA7913">
            <w:pPr>
              <w:rPr>
                <w:b/>
                <w:bCs/>
              </w:rPr>
            </w:pPr>
            <w:r w:rsidRPr="00B2508F">
              <w:rPr>
                <w:b/>
                <w:bCs/>
              </w:rPr>
              <w:t>Full-Time Program Director</w:t>
            </w:r>
          </w:p>
        </w:tc>
        <w:tc>
          <w:tcPr>
            <w:tcW w:w="2818" w:type="dxa"/>
          </w:tcPr>
          <w:p w14:paraId="49FD46D6" w14:textId="77777777" w:rsidR="00D93C4B" w:rsidRDefault="00D93C4B" w:rsidP="00DA7913">
            <w:r>
              <w:t>$65,000</w:t>
            </w:r>
          </w:p>
        </w:tc>
        <w:tc>
          <w:tcPr>
            <w:tcW w:w="3117" w:type="dxa"/>
          </w:tcPr>
          <w:p w14:paraId="14936533" w14:textId="77777777" w:rsidR="00D93C4B" w:rsidRDefault="00D93C4B" w:rsidP="00DA7913">
            <w:r>
              <w:t>$80,000</w:t>
            </w:r>
          </w:p>
        </w:tc>
      </w:tr>
      <w:tr w:rsidR="00D93C4B" w14:paraId="2DBFD272" w14:textId="77777777" w:rsidTr="00DA7913">
        <w:tc>
          <w:tcPr>
            <w:tcW w:w="3415" w:type="dxa"/>
          </w:tcPr>
          <w:p w14:paraId="4A7600EA" w14:textId="77777777" w:rsidR="00D93C4B" w:rsidRPr="00B2508F" w:rsidRDefault="00D93C4B" w:rsidP="00DA7913">
            <w:pPr>
              <w:rPr>
                <w:b/>
                <w:bCs/>
              </w:rPr>
            </w:pPr>
            <w:r w:rsidRPr="00B2508F">
              <w:rPr>
                <w:b/>
                <w:bCs/>
              </w:rPr>
              <w:t>Full-Time Teacher</w:t>
            </w:r>
          </w:p>
        </w:tc>
        <w:tc>
          <w:tcPr>
            <w:tcW w:w="2818" w:type="dxa"/>
          </w:tcPr>
          <w:p w14:paraId="2C0DF2F1" w14:textId="77777777" w:rsidR="00D93C4B" w:rsidRDefault="00D93C4B" w:rsidP="00DA7913">
            <w:r>
              <w:t>$43,000</w:t>
            </w:r>
          </w:p>
        </w:tc>
        <w:tc>
          <w:tcPr>
            <w:tcW w:w="3117" w:type="dxa"/>
          </w:tcPr>
          <w:p w14:paraId="2E2DCA8A" w14:textId="77777777" w:rsidR="00D93C4B" w:rsidRDefault="00D93C4B" w:rsidP="00DA7913">
            <w:r>
              <w:t>$60,000</w:t>
            </w:r>
          </w:p>
        </w:tc>
      </w:tr>
      <w:tr w:rsidR="00D93C4B" w14:paraId="237D581F" w14:textId="77777777" w:rsidTr="00DA7913">
        <w:tc>
          <w:tcPr>
            <w:tcW w:w="3415" w:type="dxa"/>
          </w:tcPr>
          <w:p w14:paraId="32F92FBD" w14:textId="77777777" w:rsidR="00D93C4B" w:rsidRPr="00B2508F" w:rsidRDefault="00D93C4B" w:rsidP="00DA7913">
            <w:pPr>
              <w:rPr>
                <w:b/>
                <w:bCs/>
              </w:rPr>
            </w:pPr>
            <w:r w:rsidRPr="00B2508F">
              <w:rPr>
                <w:b/>
                <w:bCs/>
              </w:rPr>
              <w:t>Part-Time Teacher</w:t>
            </w:r>
          </w:p>
        </w:tc>
        <w:tc>
          <w:tcPr>
            <w:tcW w:w="2818" w:type="dxa"/>
          </w:tcPr>
          <w:p w14:paraId="1CA934B6" w14:textId="77777777" w:rsidR="00D93C4B" w:rsidRDefault="00D93C4B" w:rsidP="00DA7913">
            <w:r>
              <w:t>$23/hr.</w:t>
            </w:r>
          </w:p>
        </w:tc>
        <w:tc>
          <w:tcPr>
            <w:tcW w:w="3117" w:type="dxa"/>
          </w:tcPr>
          <w:p w14:paraId="2257F5CC" w14:textId="77777777" w:rsidR="00D93C4B" w:rsidRDefault="00D93C4B" w:rsidP="00DA7913">
            <w:r>
              <w:t>$30/hr.</w:t>
            </w:r>
          </w:p>
        </w:tc>
      </w:tr>
      <w:tr w:rsidR="00D93C4B" w14:paraId="3DC62581" w14:textId="77777777" w:rsidTr="00DA7913">
        <w:tc>
          <w:tcPr>
            <w:tcW w:w="3415" w:type="dxa"/>
          </w:tcPr>
          <w:p w14:paraId="1AAA5BE8" w14:textId="77777777" w:rsidR="00D93C4B" w:rsidRPr="00B2508F" w:rsidRDefault="00D93C4B" w:rsidP="00DA7913">
            <w:pPr>
              <w:rPr>
                <w:b/>
                <w:bCs/>
              </w:rPr>
            </w:pPr>
            <w:r w:rsidRPr="00B2508F">
              <w:rPr>
                <w:b/>
                <w:bCs/>
              </w:rPr>
              <w:t>Full-Time Support Staff</w:t>
            </w:r>
          </w:p>
        </w:tc>
        <w:tc>
          <w:tcPr>
            <w:tcW w:w="2818" w:type="dxa"/>
          </w:tcPr>
          <w:p w14:paraId="14948111" w14:textId="77777777" w:rsidR="00D93C4B" w:rsidRDefault="00D93C4B" w:rsidP="00DA7913">
            <w:r>
              <w:t>$35,000</w:t>
            </w:r>
          </w:p>
        </w:tc>
        <w:tc>
          <w:tcPr>
            <w:tcW w:w="3117" w:type="dxa"/>
          </w:tcPr>
          <w:p w14:paraId="20281BFB" w14:textId="77777777" w:rsidR="00D93C4B" w:rsidRDefault="00D93C4B" w:rsidP="00DA7913">
            <w:r>
              <w:t>$45,000</w:t>
            </w:r>
          </w:p>
        </w:tc>
      </w:tr>
      <w:tr w:rsidR="00D93C4B" w14:paraId="6C75A552" w14:textId="77777777" w:rsidTr="00DA7913">
        <w:tc>
          <w:tcPr>
            <w:tcW w:w="3415" w:type="dxa"/>
          </w:tcPr>
          <w:p w14:paraId="75999DFA" w14:textId="77777777" w:rsidR="00D93C4B" w:rsidRPr="00B2508F" w:rsidRDefault="00D93C4B" w:rsidP="00DA7913">
            <w:pPr>
              <w:rPr>
                <w:b/>
                <w:bCs/>
              </w:rPr>
            </w:pPr>
            <w:r w:rsidRPr="00B2508F">
              <w:rPr>
                <w:b/>
                <w:bCs/>
              </w:rPr>
              <w:t>Part-Time Support Staff</w:t>
            </w:r>
          </w:p>
        </w:tc>
        <w:tc>
          <w:tcPr>
            <w:tcW w:w="2818" w:type="dxa"/>
          </w:tcPr>
          <w:p w14:paraId="214E710A" w14:textId="77777777" w:rsidR="00D93C4B" w:rsidRDefault="00D93C4B" w:rsidP="00DA7913">
            <w:r>
              <w:t>$18/hr.</w:t>
            </w:r>
          </w:p>
        </w:tc>
        <w:tc>
          <w:tcPr>
            <w:tcW w:w="3117" w:type="dxa"/>
          </w:tcPr>
          <w:p w14:paraId="595351CA" w14:textId="1E38E129" w:rsidR="00D93C4B" w:rsidRDefault="00D93C4B" w:rsidP="00DA7913">
            <w:r>
              <w:t>$2</w:t>
            </w:r>
            <w:r w:rsidR="003E2A06">
              <w:t>3</w:t>
            </w:r>
            <w:r>
              <w:t>/hr.</w:t>
            </w:r>
          </w:p>
        </w:tc>
      </w:tr>
    </w:tbl>
    <w:p w14:paraId="7BF3468D" w14:textId="77777777" w:rsidR="00FF374F" w:rsidRDefault="00FF374F" w:rsidP="00704FED"/>
    <w:p w14:paraId="70950E29" w14:textId="4D8800B4" w:rsidR="00BC744E" w:rsidRDefault="00996DA3" w:rsidP="00704FED">
      <w:r>
        <w:t>Other positions</w:t>
      </w:r>
      <w:r w:rsidR="00F860E9">
        <w:t>,</w:t>
      </w:r>
      <w:r w:rsidR="00BC744E">
        <w:t xml:space="preserve"> </w:t>
      </w:r>
      <w:r>
        <w:t>such as</w:t>
      </w:r>
      <w:r w:rsidR="00473835">
        <w:t xml:space="preserve"> assistant program directors</w:t>
      </w:r>
      <w:r w:rsidR="005D11E0">
        <w:t xml:space="preserve"> or</w:t>
      </w:r>
      <w:r>
        <w:t xml:space="preserve"> career coaches, </w:t>
      </w:r>
      <w:r w:rsidR="005140ED">
        <w:t xml:space="preserve">should fall in </w:t>
      </w:r>
      <w:r w:rsidR="00DE4362">
        <w:t xml:space="preserve">ranges </w:t>
      </w:r>
      <w:r w:rsidR="00C41B30">
        <w:t>that are based on</w:t>
      </w:r>
      <w:r w:rsidR="005140ED">
        <w:t xml:space="preserve"> an individual’s </w:t>
      </w:r>
      <w:r w:rsidR="00D96D3D">
        <w:t xml:space="preserve">qualifications and </w:t>
      </w:r>
      <w:r w:rsidR="00623999">
        <w:t xml:space="preserve">assigned </w:t>
      </w:r>
      <w:r w:rsidR="005140ED">
        <w:t>duties.</w:t>
      </w:r>
    </w:p>
    <w:p w14:paraId="26F00D26" w14:textId="77777777" w:rsidR="00BC744E" w:rsidRDefault="00BC744E" w:rsidP="00704FED"/>
    <w:p w14:paraId="1B30056B" w14:textId="778FC58D" w:rsidR="00704FED" w:rsidRDefault="00704FED" w:rsidP="00704FED">
      <w:r>
        <w:t>Staff salaries and wages are required to be listed in the budget proposal</w:t>
      </w:r>
      <w:r w:rsidR="002768D3">
        <w:t xml:space="preserve">. </w:t>
      </w:r>
      <w:r w:rsidR="00AE5627">
        <w:t>A</w:t>
      </w:r>
      <w:r w:rsidR="00EF7893">
        <w:t xml:space="preserve">pplicants should include the titles of various staff positions, their full-time or part-time status, </w:t>
      </w:r>
      <w:r w:rsidR="0078298C">
        <w:t xml:space="preserve">and </w:t>
      </w:r>
      <w:r w:rsidR="00EF7893">
        <w:t>the number of positions.</w:t>
      </w:r>
      <w:r w:rsidR="00BD5D25">
        <w:t xml:space="preserve"> </w:t>
      </w:r>
      <w:r w:rsidR="00E3485F">
        <w:t xml:space="preserve">If </w:t>
      </w:r>
      <w:r w:rsidR="007240F6">
        <w:t xml:space="preserve">proposed </w:t>
      </w:r>
      <w:r w:rsidR="00E3485F">
        <w:t>s</w:t>
      </w:r>
      <w:r w:rsidR="002768D3">
        <w:t xml:space="preserve">alaries or wages fall outside the </w:t>
      </w:r>
      <w:r w:rsidR="00D859F6">
        <w:t>ranges provided above</w:t>
      </w:r>
      <w:r w:rsidR="00E3485F">
        <w:t>, the applicant</w:t>
      </w:r>
      <w:r w:rsidR="00D859F6">
        <w:t xml:space="preserve"> must </w:t>
      </w:r>
      <w:r w:rsidR="00E3485F">
        <w:t xml:space="preserve">include </w:t>
      </w:r>
      <w:r>
        <w:t xml:space="preserve">justification for the pay rates </w:t>
      </w:r>
      <w:r w:rsidR="002F5BB6">
        <w:t>in their budget narrative</w:t>
      </w:r>
      <w:r w:rsidR="00284FDC">
        <w:t xml:space="preserve"> (</w:t>
      </w:r>
      <w:r>
        <w:t>e.g.,</w:t>
      </w:r>
      <w:r w:rsidR="00284FDC">
        <w:t xml:space="preserve"> by referencing</w:t>
      </w:r>
      <w:r>
        <w:t xml:space="preserve"> an HR policy or salary schedule that shows where certain positions fall on a pay scale, </w:t>
      </w:r>
      <w:r w:rsidR="007076B0">
        <w:t xml:space="preserve">or </w:t>
      </w:r>
      <w:r w:rsidR="001E0C65">
        <w:t>providing evidence for</w:t>
      </w:r>
      <w:r>
        <w:t xml:space="preserve"> how a certain salary is justified because of </w:t>
      </w:r>
      <w:r w:rsidR="00D54AC3">
        <w:t xml:space="preserve">experience and </w:t>
      </w:r>
      <w:r>
        <w:t>market value, etc.).</w:t>
      </w:r>
    </w:p>
    <w:p w14:paraId="1C4C9D29" w14:textId="77777777" w:rsidR="00704FED" w:rsidRDefault="00704FED" w:rsidP="00704FED"/>
    <w:p w14:paraId="7159F89C" w14:textId="4379FD90" w:rsidR="00B75F85" w:rsidRDefault="00B75F85" w:rsidP="00B75F85">
      <w:r>
        <w:t xml:space="preserve">The number and types of positions needed depends on the size of the potential-to-serve population, the geographic size and nature of the service area (i.e., urban vs. rural), and the variety of activities and classes to be offered. Applicants should use their best judgement to determine a realistic scope of activities and classes to budget for. In general, </w:t>
      </w:r>
      <w:proofErr w:type="gramStart"/>
      <w:r>
        <w:t>larger</w:t>
      </w:r>
      <w:proofErr w:type="gramEnd"/>
      <w:r>
        <w:t xml:space="preserve"> and more-populated areas will have more students and more classes, thereby requiring more teachers and support staff compared to smaller and less-populated areas. Applicants should also consider an appropriate student-to-staff ratio. While it may be ideal to have level-specific and content-specific classes, offered at multiple locations and multiple times per week, if very few students are </w:t>
      </w:r>
      <w:proofErr w:type="gramStart"/>
      <w:r>
        <w:t>actually able</w:t>
      </w:r>
      <w:proofErr w:type="gramEnd"/>
      <w:r>
        <w:t xml:space="preserve"> to attend a given class, it may not be a good use of funds. In general, a class should have at least an average of 3-5 students who attend regularly to justify implementing or maintaining it.</w:t>
      </w:r>
    </w:p>
    <w:p w14:paraId="3BB8FEA0" w14:textId="192BA063" w:rsidR="002B001C" w:rsidRDefault="000F6F8A" w:rsidP="00B75F85">
      <w:r>
        <w:lastRenderedPageBreak/>
        <w:t>If the applicant is also applying for an ABE grant, and anticipates using some ABE staff to help operate the IELCE grant—which is very much allowable—</w:t>
      </w:r>
      <w:r w:rsidR="001E714A">
        <w:t xml:space="preserve">then staff who split their time between grants will </w:t>
      </w:r>
      <w:r w:rsidR="002B001C">
        <w:t xml:space="preserve">use “time and effort” tracking and reporting to allocate costs accordingly. However, to keep the budget proposal simple, applicants should not attempt to split employees between the </w:t>
      </w:r>
      <w:r w:rsidR="006C440D">
        <w:t>IELCE</w:t>
      </w:r>
      <w:r w:rsidR="002B001C">
        <w:t xml:space="preserve"> and </w:t>
      </w:r>
      <w:r w:rsidR="006C440D">
        <w:t>ABE</w:t>
      </w:r>
      <w:r w:rsidR="002B001C">
        <w:t xml:space="preserve"> budgets. The personnel part of the </w:t>
      </w:r>
      <w:r w:rsidR="00470C23">
        <w:t xml:space="preserve">IELCE </w:t>
      </w:r>
      <w:r w:rsidR="002B001C">
        <w:t xml:space="preserve">budget should only indicate staff who would be dedicated primarily to </w:t>
      </w:r>
      <w:r w:rsidR="00470C23">
        <w:t>IELCE</w:t>
      </w:r>
      <w:r w:rsidR="002B001C">
        <w:t xml:space="preserve"> (i.e., they are not accounted for in the ABE budget).</w:t>
      </w:r>
    </w:p>
    <w:p w14:paraId="5426D8DA" w14:textId="77777777" w:rsidR="00B75F85" w:rsidRDefault="00B75F85" w:rsidP="00704FED"/>
    <w:p w14:paraId="7CEA9B9D" w14:textId="0D938CDD" w:rsidR="006A1D2A" w:rsidRDefault="00EC525D" w:rsidP="006A1D2A">
      <w:pPr>
        <w:pStyle w:val="Heading3"/>
      </w:pPr>
      <w:r>
        <w:t xml:space="preserve">Personnel </w:t>
      </w:r>
      <w:r w:rsidR="006A1D2A">
        <w:t>Benefits</w:t>
      </w:r>
      <w:r w:rsidR="000C2195">
        <w:t xml:space="preserve"> &amp; Taxes</w:t>
      </w:r>
      <w:r w:rsidR="006A1D2A">
        <w:t xml:space="preserve"> Cost Estimates</w:t>
      </w:r>
    </w:p>
    <w:p w14:paraId="6267092E" w14:textId="77777777" w:rsidR="00704FED" w:rsidRDefault="00704FED" w:rsidP="00704FED"/>
    <w:p w14:paraId="2993E062" w14:textId="2FEF01C0" w:rsidR="00D61CBB" w:rsidRDefault="0003145E" w:rsidP="00704FED">
      <w:r>
        <w:t xml:space="preserve">On average, </w:t>
      </w:r>
      <w:r w:rsidR="006852AC">
        <w:t>employe</w:t>
      </w:r>
      <w:r w:rsidR="0047049C">
        <w:t xml:space="preserve">r contributions for </w:t>
      </w:r>
      <w:r w:rsidR="006852AC">
        <w:t xml:space="preserve">fringe </w:t>
      </w:r>
      <w:r>
        <w:t>benefits</w:t>
      </w:r>
      <w:r w:rsidR="00F8422B">
        <w:t xml:space="preserve"> and </w:t>
      </w:r>
      <w:r w:rsidR="0047049C">
        <w:t>taxes cost</w:t>
      </w:r>
      <w:r>
        <w:t xml:space="preserve"> approximately 30% of </w:t>
      </w:r>
      <w:r w:rsidR="003B5268">
        <w:t>salaries</w:t>
      </w:r>
      <w:r w:rsidR="00E609C6">
        <w:t xml:space="preserve"> and wages</w:t>
      </w:r>
      <w:r w:rsidR="003B5268">
        <w:t xml:space="preserve">. </w:t>
      </w:r>
      <w:r w:rsidR="001B7947">
        <w:t xml:space="preserve">However, </w:t>
      </w:r>
      <w:r w:rsidR="00A32F03">
        <w:t>the actual benefits offered and their costs</w:t>
      </w:r>
      <w:r w:rsidR="003B5268">
        <w:t xml:space="preserve"> </w:t>
      </w:r>
      <w:r w:rsidR="001B7947">
        <w:t xml:space="preserve">can </w:t>
      </w:r>
      <w:r w:rsidR="003B5268">
        <w:t>var</w:t>
      </w:r>
      <w:r w:rsidR="001B7947">
        <w:t>y</w:t>
      </w:r>
      <w:r w:rsidR="003B5268">
        <w:t xml:space="preserve"> </w:t>
      </w:r>
      <w:r w:rsidR="001B7947">
        <w:t xml:space="preserve">significantly </w:t>
      </w:r>
      <w:r w:rsidR="003B5268">
        <w:t xml:space="preserve">depending on </w:t>
      </w:r>
      <w:r w:rsidR="00226D12">
        <w:t xml:space="preserve">local </w:t>
      </w:r>
      <w:r w:rsidR="003B5268">
        <w:t>agencies’ HR policies</w:t>
      </w:r>
      <w:r w:rsidR="000374C1">
        <w:t xml:space="preserve"> and insurance and retirement plans</w:t>
      </w:r>
      <w:r w:rsidR="003B5268">
        <w:t xml:space="preserve">. </w:t>
      </w:r>
      <w:r w:rsidR="00C84E96">
        <w:t>When completing the budget proposal, a</w:t>
      </w:r>
      <w:r w:rsidR="00CA3D37">
        <w:t xml:space="preserve">pplicants should </w:t>
      </w:r>
      <w:r w:rsidR="007A0EA7">
        <w:t xml:space="preserve">use their agency’s </w:t>
      </w:r>
      <w:r w:rsidR="00C84E96">
        <w:t xml:space="preserve">actual costs if they are known, but can use an </w:t>
      </w:r>
      <w:r w:rsidR="007A0EA7">
        <w:t>approximate percentage</w:t>
      </w:r>
      <w:r w:rsidR="00C84E96">
        <w:t xml:space="preserve"> if necessary. </w:t>
      </w:r>
      <w:r w:rsidR="00180532">
        <w:t>Note: part-time employees may also receive benefits</w:t>
      </w:r>
      <w:r w:rsidR="00C116FF">
        <w:t xml:space="preserve"> covered by grant </w:t>
      </w:r>
      <w:proofErr w:type="gramStart"/>
      <w:r w:rsidR="00C116FF">
        <w:t>funds,</w:t>
      </w:r>
      <w:r w:rsidR="00226D12">
        <w:t xml:space="preserve"> </w:t>
      </w:r>
      <w:r w:rsidR="00180532">
        <w:t>if</w:t>
      </w:r>
      <w:proofErr w:type="gramEnd"/>
      <w:r w:rsidR="00180532">
        <w:t xml:space="preserve"> </w:t>
      </w:r>
      <w:r w:rsidR="00226D12">
        <w:t>local agency policy allow</w:t>
      </w:r>
      <w:r w:rsidR="00D13CDB">
        <w:t>s</w:t>
      </w:r>
      <w:r w:rsidR="00226D12">
        <w:t xml:space="preserve"> for it.</w:t>
      </w:r>
    </w:p>
    <w:p w14:paraId="78437002" w14:textId="77777777" w:rsidR="00D61CBB" w:rsidRDefault="00D61CBB" w:rsidP="00704FED"/>
    <w:p w14:paraId="5C4F0D52" w14:textId="6F02800C" w:rsidR="006A1D2A" w:rsidRDefault="008B419D" w:rsidP="00704FED">
      <w:r>
        <w:t xml:space="preserve">Costs to consider include payroll taxes (FICA—7.65% of payroll), </w:t>
      </w:r>
      <w:r w:rsidR="009541D3">
        <w:t>health</w:t>
      </w:r>
      <w:r w:rsidR="00906617">
        <w:t>/dental/visio</w:t>
      </w:r>
      <w:r w:rsidR="000374C1">
        <w:t>n/life</w:t>
      </w:r>
      <w:r w:rsidR="00906617">
        <w:t xml:space="preserve"> insurance premiums,</w:t>
      </w:r>
      <w:r w:rsidR="00681287">
        <w:t xml:space="preserve"> retirement plan contributions,</w:t>
      </w:r>
      <w:r w:rsidR="00906617">
        <w:t xml:space="preserve"> </w:t>
      </w:r>
      <w:r w:rsidR="005C6653">
        <w:t xml:space="preserve">unemployment insurance </w:t>
      </w:r>
      <w:r w:rsidR="00692105">
        <w:t>premiums or</w:t>
      </w:r>
      <w:r w:rsidR="005C6653">
        <w:t xml:space="preserve"> benefits, </w:t>
      </w:r>
      <w:r w:rsidR="007664B5">
        <w:t xml:space="preserve">and </w:t>
      </w:r>
      <w:r w:rsidR="005C6653">
        <w:t xml:space="preserve">worker’s compensation insurance </w:t>
      </w:r>
      <w:r w:rsidR="00F66CD3">
        <w:t>premiums</w:t>
      </w:r>
      <w:r w:rsidR="007664B5">
        <w:t>.</w:t>
      </w:r>
      <w:r w:rsidR="00F66CD3">
        <w:t xml:space="preserve"> </w:t>
      </w:r>
      <w:r w:rsidR="00E609C6">
        <w:t xml:space="preserve"> </w:t>
      </w:r>
    </w:p>
    <w:p w14:paraId="64506BFC" w14:textId="77777777" w:rsidR="0099684D" w:rsidRPr="0099684D" w:rsidRDefault="0099684D" w:rsidP="00C21E60">
      <w:pPr>
        <w:rPr>
          <w:b/>
          <w:bCs/>
        </w:rPr>
      </w:pPr>
    </w:p>
    <w:p w14:paraId="64ACF37B" w14:textId="5C50E4D1" w:rsidR="006170E6" w:rsidRDefault="001238F4" w:rsidP="006170E6">
      <w:pPr>
        <w:pStyle w:val="Heading3"/>
      </w:pPr>
      <w:r>
        <w:t>Program development</w:t>
      </w:r>
      <w:r w:rsidR="006170E6">
        <w:t xml:space="preserve"> Cost Estimates</w:t>
      </w:r>
    </w:p>
    <w:p w14:paraId="6856F9DA" w14:textId="77777777" w:rsidR="00834E7B" w:rsidRDefault="00834E7B" w:rsidP="00A34F1C"/>
    <w:p w14:paraId="0691C066" w14:textId="77777777" w:rsidR="002973FF" w:rsidRDefault="002973FF" w:rsidP="002973FF">
      <w:r w:rsidRPr="00834E7B">
        <w:rPr>
          <w:b/>
          <w:bCs/>
        </w:rPr>
        <w:t xml:space="preserve">Staff </w:t>
      </w:r>
      <w:r>
        <w:rPr>
          <w:b/>
          <w:bCs/>
        </w:rPr>
        <w:t>C</w:t>
      </w:r>
      <w:r w:rsidRPr="00834E7B">
        <w:rPr>
          <w:b/>
          <w:bCs/>
        </w:rPr>
        <w:t xml:space="preserve">omputers and </w:t>
      </w:r>
      <w:r>
        <w:rPr>
          <w:b/>
          <w:bCs/>
        </w:rPr>
        <w:t>Cell P</w:t>
      </w:r>
      <w:r w:rsidRPr="00834E7B">
        <w:rPr>
          <w:b/>
          <w:bCs/>
        </w:rPr>
        <w:t>hones:</w:t>
      </w:r>
      <w:r>
        <w:t xml:space="preserve"> On average, staff computers and cell phones cost ~$750 per employee per full-time employee, and ~$250 per part-time employee, per year. Applicants should use their agency’s actual computer and cell phone costs when completing the budget </w:t>
      </w:r>
      <w:proofErr w:type="gramStart"/>
      <w:r>
        <w:t>proposal, if</w:t>
      </w:r>
      <w:proofErr w:type="gramEnd"/>
      <w:r>
        <w:t xml:space="preserve"> they are known.</w:t>
      </w:r>
    </w:p>
    <w:p w14:paraId="208ECA18" w14:textId="77777777" w:rsidR="002973FF" w:rsidRDefault="002973FF" w:rsidP="002973FF">
      <w:pPr>
        <w:rPr>
          <w:b/>
          <w:bCs/>
        </w:rPr>
      </w:pPr>
    </w:p>
    <w:p w14:paraId="20EBC7AC" w14:textId="77777777" w:rsidR="002973FF" w:rsidRPr="00320A5D" w:rsidRDefault="002973FF" w:rsidP="002973FF">
      <w:r w:rsidRPr="0095799A">
        <w:rPr>
          <w:b/>
          <w:bCs/>
        </w:rPr>
        <w:t>Student Computers, Hotspots, etc.</w:t>
      </w:r>
      <w:r>
        <w:rPr>
          <w:b/>
          <w:bCs/>
        </w:rPr>
        <w:t xml:space="preserve">: </w:t>
      </w:r>
      <w:r>
        <w:t xml:space="preserve">Assume ~$500 per unique class offering </w:t>
      </w:r>
      <w:r w:rsidRPr="00D555AD">
        <w:t xml:space="preserve">(for example, </w:t>
      </w:r>
      <w:r>
        <w:t>a</w:t>
      </w:r>
      <w:r w:rsidRPr="00D555AD">
        <w:t xml:space="preserve"> M/W </w:t>
      </w:r>
      <w:r>
        <w:t>evening</w:t>
      </w:r>
      <w:r w:rsidRPr="00D555AD">
        <w:t xml:space="preserve"> class and a T/Th </w:t>
      </w:r>
      <w:r>
        <w:t>morning</w:t>
      </w:r>
      <w:r w:rsidRPr="00D555AD">
        <w:t xml:space="preserve"> </w:t>
      </w:r>
      <w:r>
        <w:t>class would each have $500 budgeted; if an applicant is planning on offering 12 total classes across their area, they should budget $6,000).</w:t>
      </w:r>
    </w:p>
    <w:p w14:paraId="1057D9DE" w14:textId="77777777" w:rsidR="002973FF" w:rsidRDefault="002973FF" w:rsidP="002973FF">
      <w:pPr>
        <w:rPr>
          <w:b/>
          <w:bCs/>
        </w:rPr>
      </w:pPr>
    </w:p>
    <w:p w14:paraId="154DDEF6" w14:textId="77777777" w:rsidR="002973FF" w:rsidRDefault="002973FF" w:rsidP="002973FF">
      <w:r>
        <w:rPr>
          <w:b/>
          <w:bCs/>
        </w:rPr>
        <w:t xml:space="preserve">Program-Related </w:t>
      </w:r>
      <w:r w:rsidRPr="00834E7B">
        <w:rPr>
          <w:b/>
          <w:bCs/>
        </w:rPr>
        <w:t>Travel</w:t>
      </w:r>
      <w:r>
        <w:rPr>
          <w:b/>
          <w:bCs/>
        </w:rPr>
        <w:t xml:space="preserve">: </w:t>
      </w:r>
      <w:r>
        <w:t>In general, defined as mileage reimbursement for employees who do extra driving for the day-to-day jobs (more than a regular commute). Assume ~3% of salaries/wages. May be higher or lower depending on the size of the service area.</w:t>
      </w:r>
    </w:p>
    <w:p w14:paraId="676F3784" w14:textId="77777777" w:rsidR="002973FF" w:rsidRDefault="002973FF" w:rsidP="002973FF"/>
    <w:p w14:paraId="2A7464CA" w14:textId="30B1ACFA" w:rsidR="008B7DEC" w:rsidRPr="00B856C4" w:rsidRDefault="002973FF" w:rsidP="002973FF">
      <w:r>
        <w:rPr>
          <w:b/>
          <w:bCs/>
        </w:rPr>
        <w:t xml:space="preserve">Training/Conferences: </w:t>
      </w:r>
      <w:r>
        <w:t>In general, defined as training events sponsored by TDLWD or other third-party professional learning events. Includes mileage reimbursement, per diem, hotel costs, airfare, conference fees, etc.</w:t>
      </w:r>
      <w:r>
        <w:rPr>
          <w:b/>
          <w:bCs/>
        </w:rPr>
        <w:t xml:space="preserve"> </w:t>
      </w:r>
      <w:r>
        <w:t>Assume</w:t>
      </w:r>
      <w:r>
        <w:rPr>
          <w:b/>
          <w:bCs/>
        </w:rPr>
        <w:t xml:space="preserve"> </w:t>
      </w:r>
      <w:r>
        <w:t>~3% of salaries/wages.</w:t>
      </w:r>
    </w:p>
    <w:p w14:paraId="3CACAC0C" w14:textId="77777777" w:rsidR="008B7DEC" w:rsidRPr="008B7DEC" w:rsidRDefault="008B7DEC" w:rsidP="002E0963">
      <w:pPr>
        <w:rPr>
          <w:b/>
          <w:bCs/>
        </w:rPr>
      </w:pPr>
    </w:p>
    <w:p w14:paraId="568C5A4C" w14:textId="77777777" w:rsidR="00634912" w:rsidRDefault="00634912" w:rsidP="00634912">
      <w:r w:rsidRPr="00834E7B">
        <w:rPr>
          <w:b/>
          <w:bCs/>
        </w:rPr>
        <w:lastRenderedPageBreak/>
        <w:t>Curriculum:</w:t>
      </w:r>
      <w:r>
        <w:t xml:space="preserve"> TDLWD will provide a learning management system (currently </w:t>
      </w:r>
      <w:r>
        <w:rPr>
          <w:i/>
          <w:iCs/>
        </w:rPr>
        <w:t>Schoology</w:t>
      </w:r>
      <w:r>
        <w:t xml:space="preserve">) which includes a few curriculum resources. TDLWD also will occasionally provide some statewide curriculum (e.g., HiSET Academy, Burlington English, etc.); however, applicants should not assume they will be provided TDLWD-purchased curriculum when completing budget proposals. Assume ~$500 per unique class offering </w:t>
      </w:r>
      <w:r w:rsidRPr="00D555AD">
        <w:t xml:space="preserve">(for example, </w:t>
      </w:r>
      <w:r>
        <w:t>a</w:t>
      </w:r>
      <w:r w:rsidRPr="00D555AD">
        <w:t xml:space="preserve"> M/W morning class and a T/Th evening </w:t>
      </w:r>
      <w:r>
        <w:t>class would each have $500 budgeted; if an applicant is planning on offering 15 total classes across their area, they should budget $7,500). In addition, assume ~$3,000-$15,000 for distance learning curriculum (depending on size of the program).</w:t>
      </w:r>
    </w:p>
    <w:p w14:paraId="6170EB8D" w14:textId="77777777" w:rsidR="00634912" w:rsidRDefault="00634912" w:rsidP="00634912"/>
    <w:p w14:paraId="4409672D" w14:textId="77777777" w:rsidR="00634912" w:rsidRDefault="00634912" w:rsidP="00634912">
      <w:r>
        <w:t>For test materials, TDLWD will provide online and paper-based TABE and CASAS tests and materials.</w:t>
      </w:r>
    </w:p>
    <w:p w14:paraId="05BCED36" w14:textId="77777777" w:rsidR="00A7609D" w:rsidRDefault="00A7609D" w:rsidP="00A34F1C"/>
    <w:p w14:paraId="4B56A651" w14:textId="2C2A3329" w:rsidR="00C12278" w:rsidRPr="00101E5B" w:rsidRDefault="00C12278" w:rsidP="00A34F1C">
      <w:r w:rsidRPr="00C12278">
        <w:rPr>
          <w:b/>
          <w:bCs/>
        </w:rPr>
        <w:t>Program Outreach and Advertising:</w:t>
      </w:r>
      <w:r w:rsidR="00101E5B">
        <w:rPr>
          <w:b/>
          <w:bCs/>
        </w:rPr>
        <w:t xml:space="preserve"> </w:t>
      </w:r>
      <w:r w:rsidR="00101E5B">
        <w:t xml:space="preserve">TDLWD will conduct statewide advertising, but local grantees should plan to do local outreach and advertising in the communities </w:t>
      </w:r>
      <w:r w:rsidR="00D53A10">
        <w:t xml:space="preserve">across their service area. Assume </w:t>
      </w:r>
      <w:r w:rsidR="00AA6D16">
        <w:t>~</w:t>
      </w:r>
      <w:r w:rsidR="00D53A10">
        <w:t>$3,000-$15,000 (depending on size of the program)</w:t>
      </w:r>
      <w:r w:rsidR="00F10BB0">
        <w:t>.</w:t>
      </w:r>
    </w:p>
    <w:p w14:paraId="19D0365F" w14:textId="77777777" w:rsidR="0095799A" w:rsidRDefault="0095799A" w:rsidP="00A34F1C"/>
    <w:p w14:paraId="0C77DE83" w14:textId="5195C30C" w:rsidR="00E61BA9" w:rsidRDefault="00602D82" w:rsidP="00E61BA9">
      <w:pPr>
        <w:pStyle w:val="Heading3"/>
      </w:pPr>
      <w:r>
        <w:t>Office</w:t>
      </w:r>
      <w:r w:rsidR="00FF5387">
        <w:t>, Facilities</w:t>
      </w:r>
      <w:r w:rsidR="00390A1B">
        <w:t>,</w:t>
      </w:r>
      <w:r w:rsidR="00FF5387">
        <w:t xml:space="preserve"> </w:t>
      </w:r>
      <w:r w:rsidR="00841D79">
        <w:t xml:space="preserve">and </w:t>
      </w:r>
      <w:r w:rsidR="00996701">
        <w:t>admin</w:t>
      </w:r>
      <w:r w:rsidR="00841D79">
        <w:t xml:space="preserve"> </w:t>
      </w:r>
      <w:r w:rsidR="00A04799">
        <w:t>support</w:t>
      </w:r>
      <w:r w:rsidR="00E61BA9">
        <w:t xml:space="preserve"> Cost Estimates</w:t>
      </w:r>
    </w:p>
    <w:p w14:paraId="51A07C65" w14:textId="5380BA4C" w:rsidR="00A557CC" w:rsidRDefault="00A557CC" w:rsidP="00A34F1C">
      <w:pPr>
        <w:rPr>
          <w:b/>
          <w:bCs/>
        </w:rPr>
      </w:pPr>
    </w:p>
    <w:p w14:paraId="21AA195F" w14:textId="1B2B9B1A" w:rsidR="00A04799" w:rsidRDefault="00A04799" w:rsidP="00A04799">
      <w:r>
        <w:t>The following categories are often quite varied in their cost</w:t>
      </w:r>
      <w:r w:rsidR="00222508">
        <w:t xml:space="preserve"> and can be difficult to anticipate</w:t>
      </w:r>
      <w:r>
        <w:t>, depending on what an agency already has available, what the agency is willing to provide</w:t>
      </w:r>
      <w:r w:rsidR="0073029A">
        <w:t xml:space="preserve"> without charging to the grant, how large the service area and potential-to-serve is</w:t>
      </w:r>
      <w:r w:rsidR="009C6703">
        <w:t xml:space="preserve">, and </w:t>
      </w:r>
      <w:r w:rsidR="009966A5">
        <w:t>the degree to which free space can be found (e.g., local libraries or high schools)</w:t>
      </w:r>
      <w:r>
        <w:t>. Applicants should discuss these potential costs with agency administrators to try to get a</w:t>
      </w:r>
      <w:r w:rsidR="00222508">
        <w:t>s accurate of an estimate as possible.</w:t>
      </w:r>
    </w:p>
    <w:p w14:paraId="1FFE0CDF" w14:textId="77777777" w:rsidR="00A04799" w:rsidRDefault="00A04799" w:rsidP="00A34F1C">
      <w:pPr>
        <w:rPr>
          <w:b/>
          <w:bCs/>
        </w:rPr>
      </w:pPr>
    </w:p>
    <w:p w14:paraId="431D7D7E" w14:textId="77777777" w:rsidR="001C5AC1" w:rsidRDefault="001C5AC1" w:rsidP="001C5AC1">
      <w:r w:rsidRPr="00D84599">
        <w:rPr>
          <w:b/>
          <w:bCs/>
        </w:rPr>
        <w:t>Office and classroom furniture and supplies</w:t>
      </w:r>
      <w:r>
        <w:rPr>
          <w:b/>
          <w:bCs/>
        </w:rPr>
        <w:t xml:space="preserve"> </w:t>
      </w:r>
      <w:r w:rsidRPr="00510FB5">
        <w:t>(e.g., desks, chairs, copiers, filing cabinets, paper, ink, pencils, whiteboards, document cameras, etc.)</w:t>
      </w:r>
      <w:r w:rsidRPr="00D84599">
        <w:rPr>
          <w:b/>
          <w:bCs/>
        </w:rPr>
        <w:t>:</w:t>
      </w:r>
      <w:r>
        <w:t xml:space="preserve"> Assume ~$3,000-$15,000</w:t>
      </w:r>
    </w:p>
    <w:p w14:paraId="5D642656" w14:textId="77777777" w:rsidR="001C5AC1" w:rsidRDefault="001C5AC1" w:rsidP="001C5AC1">
      <w:pPr>
        <w:rPr>
          <w:b/>
          <w:bCs/>
        </w:rPr>
      </w:pPr>
    </w:p>
    <w:p w14:paraId="661F89BB" w14:textId="77777777" w:rsidR="001C5AC1" w:rsidRDefault="001C5AC1" w:rsidP="001C5AC1">
      <w:r w:rsidRPr="00D84599">
        <w:rPr>
          <w:b/>
          <w:bCs/>
        </w:rPr>
        <w:t>Rent, utilities, maintenance, janitorial, and security:</w:t>
      </w:r>
      <w:r>
        <w:t xml:space="preserve"> Assume ~$5,000-$25,000</w:t>
      </w:r>
    </w:p>
    <w:p w14:paraId="62F3B8A0" w14:textId="77777777" w:rsidR="001C5AC1" w:rsidRDefault="001C5AC1" w:rsidP="001C5AC1">
      <w:pPr>
        <w:rPr>
          <w:b/>
          <w:bCs/>
        </w:rPr>
      </w:pPr>
    </w:p>
    <w:p w14:paraId="519B050C" w14:textId="4823E5BC" w:rsidR="001C5AC1" w:rsidRDefault="001C5AC1" w:rsidP="00A34F1C">
      <w:pPr>
        <w:rPr>
          <w:b/>
          <w:bCs/>
        </w:rPr>
      </w:pPr>
      <w:r>
        <w:rPr>
          <w:b/>
          <w:bCs/>
        </w:rPr>
        <w:t>A</w:t>
      </w:r>
      <w:r w:rsidRPr="00D84599">
        <w:rPr>
          <w:b/>
          <w:bCs/>
        </w:rPr>
        <w:t>dministrative support</w:t>
      </w:r>
      <w:r>
        <w:rPr>
          <w:b/>
          <w:bCs/>
        </w:rPr>
        <w:t xml:space="preserve"> (i.e., executive leadership, HR, IT, and fiscal functions)</w:t>
      </w:r>
      <w:r w:rsidRPr="00D84599">
        <w:rPr>
          <w:b/>
          <w:bCs/>
        </w:rPr>
        <w:t>:</w:t>
      </w:r>
      <w:r>
        <w:t xml:space="preserve"> assume $5,000-$25,000</w:t>
      </w:r>
    </w:p>
    <w:p w14:paraId="2442E3C2" w14:textId="082BFFAC" w:rsidR="001968EC" w:rsidRDefault="001968EC" w:rsidP="00A34F1C">
      <w:pPr>
        <w:sectPr w:rsidR="001968EC" w:rsidSect="00F8371C">
          <w:headerReference w:type="default" r:id="rId54"/>
          <w:pgSz w:w="12240" w:h="15840" w:code="1"/>
          <w:pgMar w:top="1440" w:right="1440" w:bottom="1440" w:left="1440" w:header="720" w:footer="720" w:gutter="0"/>
          <w:cols w:space="720"/>
          <w:docGrid w:linePitch="360"/>
        </w:sectPr>
      </w:pPr>
    </w:p>
    <w:p w14:paraId="26D4A22E" w14:textId="61FFD8AB" w:rsidR="00F1618A" w:rsidRPr="00EE7081" w:rsidRDefault="00F1618A" w:rsidP="004064FD">
      <w:pPr>
        <w:pStyle w:val="Heading1"/>
        <w:keepNext w:val="0"/>
        <w:keepLines/>
        <w:rPr>
          <w:rFonts w:ascii="Open Sans" w:eastAsia="Calibri" w:hAnsi="Open Sans"/>
        </w:rPr>
      </w:pPr>
      <w:bookmarkStart w:id="60" w:name="_Toc128579634"/>
      <w:r w:rsidRPr="00EE7081">
        <w:rPr>
          <w:rFonts w:ascii="Open Sans" w:eastAsia="Calibri" w:hAnsi="Open Sans"/>
        </w:rPr>
        <w:lastRenderedPageBreak/>
        <w:t>Appendix</w:t>
      </w:r>
      <w:r w:rsidR="0052761F">
        <w:rPr>
          <w:rFonts w:ascii="Open Sans" w:eastAsia="Calibri" w:hAnsi="Open Sans"/>
        </w:rPr>
        <w:t xml:space="preserve"> </w:t>
      </w:r>
      <w:r w:rsidR="00182221">
        <w:rPr>
          <w:rFonts w:ascii="Open Sans" w:eastAsia="Calibri" w:hAnsi="Open Sans"/>
        </w:rPr>
        <w:t>D</w:t>
      </w:r>
      <w:r w:rsidR="004064FD">
        <w:rPr>
          <w:rFonts w:ascii="Open Sans" w:eastAsia="Calibri" w:hAnsi="Open Sans"/>
        </w:rPr>
        <w:t xml:space="preserve">: scoring </w:t>
      </w:r>
      <w:r w:rsidR="004A1114">
        <w:rPr>
          <w:rFonts w:ascii="Open Sans" w:eastAsia="Calibri" w:hAnsi="Open Sans"/>
        </w:rPr>
        <w:t>Rubric</w:t>
      </w:r>
      <w:bookmarkEnd w:id="60"/>
    </w:p>
    <w:sdt>
      <w:sdtPr>
        <w:rPr>
          <w:rFonts w:eastAsiaTheme="minorHAnsi"/>
          <w:color w:val="2B579A"/>
          <w:shd w:val="clear" w:color="auto" w:fill="E6E6E6"/>
        </w:rPr>
        <w:id w:val="-748730434"/>
        <w:docPartObj>
          <w:docPartGallery w:val="Cover Pages"/>
          <w:docPartUnique/>
        </w:docPartObj>
      </w:sdtPr>
      <w:sdtEndPr>
        <w:rPr>
          <w:sz w:val="20"/>
        </w:rPr>
      </w:sdtEndPr>
      <w:sdtContent>
        <w:p w14:paraId="20495C4D" w14:textId="50007D47" w:rsidR="008D2C16" w:rsidRPr="00EE7081" w:rsidRDefault="008D2C16" w:rsidP="00EA0734">
          <w:pPr>
            <w:keepLines/>
            <w:autoSpaceDE w:val="0"/>
            <w:autoSpaceDN w:val="0"/>
            <w:rPr>
              <w:rFonts w:eastAsiaTheme="minorHAnsi"/>
            </w:rPr>
          </w:pPr>
        </w:p>
        <w:p w14:paraId="3966BE94" w14:textId="4641EEB4" w:rsidR="008D2C16" w:rsidRPr="00EE7081" w:rsidRDefault="008D2C16" w:rsidP="00EA0734">
          <w:pPr>
            <w:keepLines/>
            <w:autoSpaceDE w:val="0"/>
            <w:autoSpaceDN w:val="0"/>
            <w:spacing w:after="120"/>
            <w:rPr>
              <w:rFonts w:eastAsiaTheme="minorHAnsi"/>
            </w:rPr>
          </w:pPr>
          <w:r w:rsidRPr="00EE7081">
            <w:rPr>
              <w:rFonts w:eastAsiaTheme="minorHAnsi"/>
            </w:rPr>
            <w:t xml:space="preserve">When scoring an Adult Education grant application, reviewers </w:t>
          </w:r>
          <w:r w:rsidR="00E058BB">
            <w:rPr>
              <w:rFonts w:eastAsiaTheme="minorHAnsi"/>
            </w:rPr>
            <w:t>will</w:t>
          </w:r>
          <w:r w:rsidRPr="00EE7081">
            <w:rPr>
              <w:rFonts w:eastAsiaTheme="minorHAnsi"/>
            </w:rPr>
            <w:t xml:space="preserve"> consider how well the applicant describes their ability to provide high</w:t>
          </w:r>
          <w:r w:rsidR="00E058BB">
            <w:rPr>
              <w:rFonts w:eastAsiaTheme="minorHAnsi"/>
            </w:rPr>
            <w:t>-</w:t>
          </w:r>
          <w:r w:rsidRPr="00EE7081">
            <w:rPr>
              <w:rFonts w:eastAsiaTheme="minorHAnsi"/>
            </w:rPr>
            <w:t xml:space="preserve">quality </w:t>
          </w:r>
          <w:r w:rsidR="003031CB">
            <w:rPr>
              <w:rFonts w:eastAsiaTheme="minorHAnsi"/>
            </w:rPr>
            <w:t>a</w:t>
          </w:r>
          <w:r w:rsidRPr="00EE7081">
            <w:rPr>
              <w:rFonts w:eastAsiaTheme="minorHAnsi"/>
            </w:rPr>
            <w:t xml:space="preserve">dult </w:t>
          </w:r>
          <w:r w:rsidR="003031CB">
            <w:rPr>
              <w:rFonts w:eastAsiaTheme="minorHAnsi"/>
            </w:rPr>
            <w:t>e</w:t>
          </w:r>
          <w:r w:rsidRPr="00EE7081">
            <w:rPr>
              <w:rFonts w:eastAsiaTheme="minorHAnsi"/>
            </w:rPr>
            <w:t xml:space="preserve">ducation services to Tennesseans in the </w:t>
          </w:r>
          <w:r w:rsidR="00E058BB">
            <w:rPr>
              <w:rFonts w:eastAsiaTheme="minorHAnsi"/>
            </w:rPr>
            <w:t>proposed</w:t>
          </w:r>
          <w:r w:rsidRPr="00EE7081">
            <w:rPr>
              <w:rFonts w:eastAsiaTheme="minorHAnsi"/>
            </w:rPr>
            <w:t xml:space="preserve"> service area. In general, reviewers </w:t>
          </w:r>
          <w:r w:rsidR="00E058BB">
            <w:rPr>
              <w:rFonts w:eastAsiaTheme="minorHAnsi"/>
            </w:rPr>
            <w:t>will</w:t>
          </w:r>
          <w:r w:rsidRPr="00EE7081">
            <w:rPr>
              <w:rFonts w:eastAsiaTheme="minorHAnsi"/>
            </w:rPr>
            <w:t xml:space="preserve"> score applications based on:</w:t>
          </w:r>
        </w:p>
        <w:p w14:paraId="35AA0DFB" w14:textId="23F3A388" w:rsidR="008D2C16" w:rsidRPr="00EE7081" w:rsidRDefault="008D2C16" w:rsidP="00D90CF9">
          <w:pPr>
            <w:keepLines/>
            <w:numPr>
              <w:ilvl w:val="0"/>
              <w:numId w:val="15"/>
            </w:numPr>
            <w:autoSpaceDE w:val="0"/>
            <w:autoSpaceDN w:val="0"/>
            <w:spacing w:after="120"/>
            <w:ind w:left="360" w:hanging="374"/>
            <w:rPr>
              <w:rFonts w:eastAsiaTheme="minorHAnsi"/>
            </w:rPr>
          </w:pPr>
          <w:r w:rsidRPr="00EE7081">
            <w:rPr>
              <w:rFonts w:eastAsiaTheme="minorHAnsi"/>
              <w:b/>
            </w:rPr>
            <w:t>Completeness</w:t>
          </w:r>
          <w:r w:rsidRPr="00EE7081">
            <w:rPr>
              <w:rFonts w:eastAsiaTheme="minorHAnsi"/>
            </w:rPr>
            <w:t xml:space="preserve"> - How thorough the answer is; </w:t>
          </w:r>
          <w:r w:rsidR="00241D16" w:rsidRPr="00EE7081">
            <w:rPr>
              <w:rFonts w:eastAsiaTheme="minorHAnsi"/>
            </w:rPr>
            <w:t>whether</w:t>
          </w:r>
          <w:r w:rsidRPr="00EE7081">
            <w:rPr>
              <w:rFonts w:eastAsiaTheme="minorHAnsi"/>
            </w:rPr>
            <w:t xml:space="preserve"> it addresses all necessary items</w:t>
          </w:r>
        </w:p>
        <w:p w14:paraId="57E72455" w14:textId="77777777" w:rsidR="008D2C16" w:rsidRPr="00EE7081" w:rsidRDefault="008D2C16" w:rsidP="00D90CF9">
          <w:pPr>
            <w:keepLines/>
            <w:numPr>
              <w:ilvl w:val="0"/>
              <w:numId w:val="15"/>
            </w:numPr>
            <w:autoSpaceDE w:val="0"/>
            <w:autoSpaceDN w:val="0"/>
            <w:spacing w:after="120"/>
            <w:ind w:left="360" w:hanging="374"/>
            <w:rPr>
              <w:rFonts w:eastAsiaTheme="minorHAnsi"/>
            </w:rPr>
          </w:pPr>
          <w:r w:rsidRPr="00EE7081">
            <w:rPr>
              <w:rFonts w:eastAsiaTheme="minorHAnsi"/>
              <w:b/>
            </w:rPr>
            <w:t>Clarity</w:t>
          </w:r>
          <w:r w:rsidRPr="00EE7081">
            <w:rPr>
              <w:rFonts w:eastAsiaTheme="minorHAnsi"/>
            </w:rPr>
            <w:t xml:space="preserve"> - how clear and specific the answer is; generic answers and hypothetical descriptions should be scored lower</w:t>
          </w:r>
        </w:p>
        <w:p w14:paraId="485F28A4" w14:textId="46B1EA4C" w:rsidR="008D2C16" w:rsidRDefault="008D2C16" w:rsidP="00D90CF9">
          <w:pPr>
            <w:keepLines/>
            <w:numPr>
              <w:ilvl w:val="0"/>
              <w:numId w:val="15"/>
            </w:numPr>
            <w:autoSpaceDE w:val="0"/>
            <w:autoSpaceDN w:val="0"/>
            <w:spacing w:after="120"/>
            <w:ind w:left="360" w:hanging="374"/>
            <w:contextualSpacing/>
            <w:rPr>
              <w:rFonts w:eastAsiaTheme="minorHAnsi"/>
            </w:rPr>
          </w:pPr>
          <w:r w:rsidRPr="006864D9">
            <w:rPr>
              <w:rFonts w:eastAsiaTheme="minorHAnsi"/>
              <w:b/>
            </w:rPr>
            <w:t>Alignment with Grant Requirements</w:t>
          </w:r>
          <w:r w:rsidRPr="006864D9">
            <w:rPr>
              <w:rFonts w:eastAsiaTheme="minorHAnsi"/>
            </w:rPr>
            <w:t xml:space="preserve"> - how well the answer indicates a robust and reasonable plan and ability to execute a given grant requirement</w:t>
          </w:r>
        </w:p>
        <w:p w14:paraId="327652C8" w14:textId="77777777" w:rsidR="006864D9" w:rsidRPr="006864D9" w:rsidRDefault="006864D9" w:rsidP="006864D9">
          <w:pPr>
            <w:keepLines/>
            <w:autoSpaceDE w:val="0"/>
            <w:autoSpaceDN w:val="0"/>
            <w:spacing w:after="120"/>
            <w:contextualSpacing/>
            <w:rPr>
              <w:rFonts w:eastAsiaTheme="minorHAnsi"/>
            </w:rPr>
          </w:pPr>
        </w:p>
        <w:p w14:paraId="05A6FC17" w14:textId="77777777" w:rsidR="008D2C16" w:rsidRPr="00EE7081" w:rsidRDefault="008D2C16" w:rsidP="00EA0734">
          <w:pPr>
            <w:keepLines/>
            <w:autoSpaceDE w:val="0"/>
            <w:autoSpaceDN w:val="0"/>
            <w:spacing w:after="120"/>
            <w:contextualSpacing/>
            <w:rPr>
              <w:rFonts w:eastAsiaTheme="minorHAnsi"/>
            </w:rPr>
          </w:pPr>
          <w:r w:rsidRPr="00EE7081">
            <w:rPr>
              <w:rFonts w:eastAsiaTheme="minorHAnsi"/>
            </w:rPr>
            <w:t xml:space="preserve">There are 12 scored parts to the application. The rubric below contains descriptions of what each part should address (in the light-blue boxes), and the specific criteria for scoring each part. Each part has a designated total points possible, and reviewers should utilize the rubric to determine how many points to award. Reviewers are encouraged to provide comments to justify the points awarded. </w:t>
          </w:r>
        </w:p>
        <w:p w14:paraId="52E480E3" w14:textId="77777777" w:rsidR="008D2C16" w:rsidRPr="00EE7081" w:rsidRDefault="008D2C16" w:rsidP="00EA0734">
          <w:pPr>
            <w:keepLines/>
            <w:autoSpaceDE w:val="0"/>
            <w:autoSpaceDN w:val="0"/>
            <w:spacing w:after="120"/>
            <w:contextualSpacing/>
            <w:rPr>
              <w:rFonts w:eastAsiaTheme="minorHAnsi"/>
            </w:rPr>
          </w:pPr>
        </w:p>
        <w:p w14:paraId="233157A3" w14:textId="1852EC90" w:rsidR="008D2C16" w:rsidRPr="00EE7081" w:rsidRDefault="008D2C16" w:rsidP="00EA0734">
          <w:pPr>
            <w:keepLines/>
            <w:autoSpaceDE w:val="0"/>
            <w:autoSpaceDN w:val="0"/>
            <w:spacing w:after="120"/>
            <w:contextualSpacing/>
            <w:rPr>
              <w:rFonts w:eastAsiaTheme="minorHAnsi"/>
            </w:rPr>
          </w:pPr>
          <w:r w:rsidRPr="00EE7081">
            <w:rPr>
              <w:rFonts w:eastAsiaTheme="minorHAnsi"/>
            </w:rPr>
            <w:t xml:space="preserve">Note: Each part of the application is associated with requirements established by Federal regulations, as detailed in </w:t>
          </w:r>
          <w:r w:rsidR="00DC2A8D">
            <w:rPr>
              <w:rFonts w:eastAsiaTheme="minorHAnsi"/>
            </w:rPr>
            <w:t>Section 8 – Grant Application Guide.</w:t>
          </w:r>
          <w:r w:rsidRPr="00EE7081">
            <w:rPr>
              <w:rFonts w:eastAsiaTheme="minorHAnsi"/>
            </w:rPr>
            <w:t xml:space="preserve"> The specific regulatory “</w:t>
          </w:r>
          <w:r w:rsidR="00F31B27">
            <w:rPr>
              <w:rFonts w:eastAsiaTheme="minorHAnsi"/>
            </w:rPr>
            <w:t>c</w:t>
          </w:r>
          <w:r w:rsidRPr="00EE7081">
            <w:rPr>
              <w:rFonts w:eastAsiaTheme="minorHAnsi"/>
            </w:rPr>
            <w:t>onsiderations” and “</w:t>
          </w:r>
          <w:r w:rsidR="00F31B27">
            <w:rPr>
              <w:rFonts w:eastAsiaTheme="minorHAnsi"/>
            </w:rPr>
            <w:t>r</w:t>
          </w:r>
          <w:r w:rsidRPr="00EE7081">
            <w:rPr>
              <w:rFonts w:eastAsiaTheme="minorHAnsi"/>
            </w:rPr>
            <w:t xml:space="preserve">equired </w:t>
          </w:r>
          <w:r w:rsidR="00F31B27">
            <w:rPr>
              <w:rFonts w:eastAsiaTheme="minorHAnsi"/>
            </w:rPr>
            <w:t>i</w:t>
          </w:r>
          <w:r w:rsidRPr="00EE7081">
            <w:rPr>
              <w:rFonts w:eastAsiaTheme="minorHAnsi"/>
            </w:rPr>
            <w:t>nformation” associated with each part are indicated in the rubric below.</w:t>
          </w:r>
        </w:p>
        <w:p w14:paraId="36FBD385" w14:textId="77777777" w:rsidR="008D2C16" w:rsidRPr="00EE7081" w:rsidRDefault="008D2C16" w:rsidP="00EA0734">
          <w:pPr>
            <w:keepLines/>
            <w:autoSpaceDE w:val="0"/>
            <w:autoSpaceDN w:val="0"/>
            <w:spacing w:after="120"/>
            <w:contextualSpacing/>
            <w:rPr>
              <w:rFonts w:eastAsiaTheme="minorHAnsi"/>
            </w:rPr>
          </w:pPr>
        </w:p>
        <w:p w14:paraId="1653313C" w14:textId="16F9FAA5" w:rsidR="00642139" w:rsidRDefault="008D2C16" w:rsidP="00EA0734">
          <w:pPr>
            <w:keepLines/>
            <w:autoSpaceDE w:val="0"/>
            <w:autoSpaceDN w:val="0"/>
            <w:spacing w:after="120"/>
            <w:contextualSpacing/>
            <w:rPr>
              <w:rFonts w:eastAsiaTheme="minorHAnsi"/>
            </w:rPr>
          </w:pPr>
          <w:r w:rsidRPr="00EE7081">
            <w:rPr>
              <w:rFonts w:eastAsiaTheme="minorHAnsi"/>
            </w:rPr>
            <w:t xml:space="preserve">When the review is complete, reviewers </w:t>
          </w:r>
          <w:r w:rsidR="00773F52">
            <w:rPr>
              <w:rFonts w:eastAsiaTheme="minorHAnsi"/>
            </w:rPr>
            <w:t>will</w:t>
          </w:r>
          <w:r w:rsidRPr="00EE7081">
            <w:rPr>
              <w:rFonts w:eastAsiaTheme="minorHAnsi"/>
            </w:rPr>
            <w:t xml:space="preserve"> complete the</w:t>
          </w:r>
          <w:r w:rsidR="00A02FD4">
            <w:rPr>
              <w:rFonts w:eastAsiaTheme="minorHAnsi"/>
            </w:rPr>
            <w:t xml:space="preserve"> “Application </w:t>
          </w:r>
          <w:r w:rsidR="00A40C33">
            <w:rPr>
              <w:rFonts w:eastAsiaTheme="minorHAnsi"/>
            </w:rPr>
            <w:t>Scoring</w:t>
          </w:r>
          <w:r w:rsidR="00A02FD4">
            <w:rPr>
              <w:rFonts w:eastAsiaTheme="minorHAnsi"/>
            </w:rPr>
            <w:t xml:space="preserve"> Summary”</w:t>
          </w:r>
          <w:r w:rsidR="00642139">
            <w:rPr>
              <w:rFonts w:eastAsiaTheme="minorHAnsi"/>
            </w:rPr>
            <w:t xml:space="preserve"> information, including whether the reviewer recommends the applicant for funding. Reviewers </w:t>
          </w:r>
          <w:r w:rsidR="00773F52">
            <w:rPr>
              <w:rFonts w:eastAsiaTheme="minorHAnsi"/>
            </w:rPr>
            <w:t>will</w:t>
          </w:r>
          <w:r w:rsidR="00642139">
            <w:rPr>
              <w:rFonts w:eastAsiaTheme="minorHAnsi"/>
            </w:rPr>
            <w:t xml:space="preserve"> recommend the applicant for funding if the overall application indicates that the applicant would provide adequate </w:t>
          </w:r>
          <w:r w:rsidR="003031CB">
            <w:rPr>
              <w:rFonts w:eastAsiaTheme="minorHAnsi"/>
            </w:rPr>
            <w:t>a</w:t>
          </w:r>
          <w:r w:rsidR="00642139">
            <w:rPr>
              <w:rFonts w:eastAsiaTheme="minorHAnsi"/>
            </w:rPr>
            <w:t xml:space="preserve">dult </w:t>
          </w:r>
          <w:r w:rsidR="003031CB">
            <w:rPr>
              <w:rFonts w:eastAsiaTheme="minorHAnsi"/>
            </w:rPr>
            <w:t>e</w:t>
          </w:r>
          <w:r w:rsidR="00642139">
            <w:rPr>
              <w:rFonts w:eastAsiaTheme="minorHAnsi"/>
            </w:rPr>
            <w:t xml:space="preserve">ducation services. Reviewers </w:t>
          </w:r>
          <w:r w:rsidR="00773F52">
            <w:rPr>
              <w:rFonts w:eastAsiaTheme="minorHAnsi"/>
            </w:rPr>
            <w:t>will</w:t>
          </w:r>
          <w:r w:rsidR="00642139">
            <w:rPr>
              <w:rFonts w:eastAsiaTheme="minorHAnsi"/>
            </w:rPr>
            <w:t xml:space="preserve"> </w:t>
          </w:r>
          <w:r w:rsidR="00642139">
            <w:rPr>
              <w:rFonts w:eastAsiaTheme="minorHAnsi"/>
              <w:i/>
              <w:iCs/>
            </w:rPr>
            <w:t>not</w:t>
          </w:r>
          <w:r w:rsidR="00642139">
            <w:rPr>
              <w:rFonts w:eastAsiaTheme="minorHAnsi"/>
            </w:rPr>
            <w:t xml:space="preserve"> recommend </w:t>
          </w:r>
          <w:r w:rsidR="001A1208">
            <w:rPr>
              <w:rFonts w:eastAsiaTheme="minorHAnsi"/>
            </w:rPr>
            <w:t xml:space="preserve">the applicant </w:t>
          </w:r>
          <w:r w:rsidR="00642139">
            <w:rPr>
              <w:rFonts w:eastAsiaTheme="minorHAnsi"/>
            </w:rPr>
            <w:t xml:space="preserve">for funding if the overall application indicates that the applicant would </w:t>
          </w:r>
          <w:r w:rsidR="00642139">
            <w:rPr>
              <w:rFonts w:eastAsiaTheme="minorHAnsi"/>
              <w:i/>
              <w:iCs/>
            </w:rPr>
            <w:t>not</w:t>
          </w:r>
          <w:r w:rsidR="00642139">
            <w:rPr>
              <w:rFonts w:eastAsiaTheme="minorHAnsi"/>
            </w:rPr>
            <w:t xml:space="preserve"> provide adequate </w:t>
          </w:r>
          <w:r w:rsidR="003031CB">
            <w:rPr>
              <w:rFonts w:eastAsiaTheme="minorHAnsi"/>
            </w:rPr>
            <w:t>a</w:t>
          </w:r>
          <w:r w:rsidR="00642139">
            <w:rPr>
              <w:rFonts w:eastAsiaTheme="minorHAnsi"/>
            </w:rPr>
            <w:t xml:space="preserve">dult </w:t>
          </w:r>
          <w:r w:rsidR="003031CB">
            <w:rPr>
              <w:rFonts w:eastAsiaTheme="minorHAnsi"/>
            </w:rPr>
            <w:t>e</w:t>
          </w:r>
          <w:r w:rsidR="00642139">
            <w:rPr>
              <w:rFonts w:eastAsiaTheme="minorHAnsi"/>
            </w:rPr>
            <w:t xml:space="preserve">ducation services. This </w:t>
          </w:r>
          <w:r w:rsidR="001A1208">
            <w:rPr>
              <w:rFonts w:eastAsiaTheme="minorHAnsi"/>
            </w:rPr>
            <w:t>determination</w:t>
          </w:r>
          <w:r w:rsidR="00642139">
            <w:rPr>
              <w:rFonts w:eastAsiaTheme="minorHAnsi"/>
            </w:rPr>
            <w:t xml:space="preserve"> is a safeguard to ensure that if the highest-scoring applicant </w:t>
          </w:r>
          <w:r w:rsidR="006864D9">
            <w:rPr>
              <w:rFonts w:eastAsiaTheme="minorHAnsi"/>
            </w:rPr>
            <w:t>has serious deficiencies</w:t>
          </w:r>
          <w:r w:rsidR="00642139">
            <w:rPr>
              <w:rFonts w:eastAsiaTheme="minorHAnsi"/>
            </w:rPr>
            <w:t xml:space="preserve">, </w:t>
          </w:r>
          <w:r w:rsidR="0024687D">
            <w:rPr>
              <w:rFonts w:eastAsiaTheme="minorHAnsi"/>
            </w:rPr>
            <w:t xml:space="preserve">TDLWD </w:t>
          </w:r>
          <w:r w:rsidR="00642139">
            <w:rPr>
              <w:rFonts w:eastAsiaTheme="minorHAnsi"/>
            </w:rPr>
            <w:t>is not obligated to award them the grant.</w:t>
          </w:r>
        </w:p>
        <w:p w14:paraId="5191806A" w14:textId="77777777" w:rsidR="0036230D" w:rsidRPr="0088366F" w:rsidRDefault="0036230D" w:rsidP="00EA0734">
          <w:pPr>
            <w:keepLines/>
            <w:autoSpaceDE w:val="0"/>
            <w:autoSpaceDN w:val="0"/>
            <w:spacing w:after="120"/>
            <w:contextualSpacing/>
            <w:rPr>
              <w:rFonts w:eastAsiaTheme="minorHAnsi"/>
            </w:rPr>
          </w:pPr>
        </w:p>
        <w:p w14:paraId="5B27C0FA" w14:textId="77777777" w:rsidR="00484538" w:rsidRDefault="00484538" w:rsidP="00484538">
          <w:pPr>
            <w:keepLines/>
            <w:autoSpaceDE w:val="0"/>
            <w:autoSpaceDN w:val="0"/>
            <w:spacing w:after="120"/>
            <w:contextualSpacing/>
            <w:rPr>
              <w:rFonts w:eastAsiaTheme="minorHAnsi"/>
            </w:rPr>
          </w:pPr>
          <w:r>
            <w:rPr>
              <w:rFonts w:eastAsiaTheme="minorHAnsi"/>
            </w:rPr>
            <w:t>The remaining pages in this appendix contain the scoring rubric that will be used to review and score applications.</w:t>
          </w:r>
        </w:p>
        <w:p w14:paraId="70528C55" w14:textId="77777777" w:rsidR="00052D41" w:rsidRDefault="00052D41" w:rsidP="002111F1">
          <w:pPr>
            <w:keepLines/>
            <w:autoSpaceDE w:val="0"/>
            <w:autoSpaceDN w:val="0"/>
            <w:spacing w:after="120"/>
            <w:contextualSpacing/>
            <w:rPr>
              <w:rFonts w:eastAsiaTheme="minorHAnsi"/>
            </w:rPr>
          </w:pPr>
        </w:p>
        <w:p w14:paraId="580BB5C2" w14:textId="77777777" w:rsidR="00052D41" w:rsidRDefault="00052D41" w:rsidP="002111F1">
          <w:pPr>
            <w:keepLines/>
            <w:autoSpaceDE w:val="0"/>
            <w:autoSpaceDN w:val="0"/>
            <w:spacing w:after="120"/>
            <w:contextualSpacing/>
            <w:rPr>
              <w:rFonts w:eastAsiaTheme="minorHAnsi"/>
            </w:rPr>
          </w:pPr>
        </w:p>
        <w:p w14:paraId="61F330B8" w14:textId="29DE811B" w:rsidR="002111F1" w:rsidRDefault="00000000" w:rsidP="002111F1">
          <w:pPr>
            <w:keepLines/>
            <w:autoSpaceDE w:val="0"/>
            <w:autoSpaceDN w:val="0"/>
            <w:spacing w:after="120"/>
            <w:contextualSpacing/>
            <w:rPr>
              <w:rFonts w:eastAsiaTheme="minorHAnsi"/>
            </w:rPr>
          </w:pPr>
        </w:p>
      </w:sdtContent>
    </w:sdt>
    <w:p w14:paraId="313F2AB7" w14:textId="77777777" w:rsidR="008D06C7" w:rsidRDefault="008D06C7">
      <w:pPr>
        <w:rPr>
          <w:rFonts w:eastAsiaTheme="minorHAnsi"/>
          <w:b/>
          <w:w w:val="105"/>
          <w:sz w:val="32"/>
        </w:rPr>
      </w:pPr>
      <w:r>
        <w:rPr>
          <w:rFonts w:eastAsiaTheme="minorHAnsi"/>
          <w:b/>
          <w:w w:val="105"/>
          <w:sz w:val="32"/>
        </w:rPr>
        <w:br w:type="page"/>
      </w:r>
    </w:p>
    <w:p w14:paraId="6ECB2869" w14:textId="1462E6DB" w:rsidR="008D2C16" w:rsidRPr="00EE7081" w:rsidRDefault="00CB6253" w:rsidP="00516598">
      <w:pPr>
        <w:keepLines/>
        <w:spacing w:after="160" w:line="259" w:lineRule="auto"/>
        <w:jc w:val="center"/>
        <w:rPr>
          <w:rFonts w:eastAsiaTheme="minorHAnsi"/>
          <w:b/>
          <w:sz w:val="28"/>
        </w:rPr>
      </w:pPr>
      <w:r>
        <w:rPr>
          <w:rFonts w:eastAsiaTheme="minorHAnsi"/>
          <w:b/>
          <w:w w:val="105"/>
          <w:sz w:val="32"/>
        </w:rPr>
        <w:lastRenderedPageBreak/>
        <w:t xml:space="preserve">Application </w:t>
      </w:r>
      <w:r w:rsidR="00A40C33">
        <w:rPr>
          <w:rFonts w:eastAsiaTheme="minorHAnsi"/>
          <w:b/>
          <w:w w:val="105"/>
          <w:sz w:val="32"/>
        </w:rPr>
        <w:t>Sco</w:t>
      </w:r>
      <w:r w:rsidR="00A40C33" w:rsidRPr="00A40C33">
        <w:rPr>
          <w:rFonts w:eastAsiaTheme="minorHAnsi"/>
          <w:b/>
          <w:w w:val="105"/>
          <w:sz w:val="32"/>
          <w:szCs w:val="32"/>
        </w:rPr>
        <w:t>ring</w:t>
      </w:r>
      <w:r w:rsidR="008D2C16" w:rsidRPr="00A40C33">
        <w:rPr>
          <w:rFonts w:eastAsiaTheme="minorHAnsi"/>
          <w:b/>
          <w:w w:val="105"/>
          <w:sz w:val="32"/>
          <w:szCs w:val="32"/>
        </w:rPr>
        <w:t xml:space="preserve"> </w:t>
      </w:r>
      <w:r w:rsidR="008D2C16" w:rsidRPr="00A40C33">
        <w:rPr>
          <w:rFonts w:eastAsiaTheme="minorHAnsi"/>
          <w:b/>
          <w:sz w:val="32"/>
          <w:szCs w:val="32"/>
        </w:rPr>
        <w:t>Summary</w:t>
      </w:r>
    </w:p>
    <w:tbl>
      <w:tblPr>
        <w:tblStyle w:val="TableGrid1"/>
        <w:tblpPr w:leftFromText="180" w:rightFromText="180" w:vertAnchor="text" w:horzAnchor="margin" w:tblpY="164"/>
        <w:tblW w:w="9374" w:type="dxa"/>
        <w:tblLook w:val="04A0" w:firstRow="1" w:lastRow="0" w:firstColumn="1" w:lastColumn="0" w:noHBand="0" w:noVBand="1"/>
      </w:tblPr>
      <w:tblGrid>
        <w:gridCol w:w="2155"/>
        <w:gridCol w:w="7219"/>
      </w:tblGrid>
      <w:tr w:rsidR="008D2C16" w:rsidRPr="00EE7081" w14:paraId="011EB6B8" w14:textId="77777777" w:rsidTr="00D62532">
        <w:trPr>
          <w:trHeight w:val="611"/>
        </w:trPr>
        <w:tc>
          <w:tcPr>
            <w:tcW w:w="2155" w:type="dxa"/>
            <w:shd w:val="clear" w:color="auto" w:fill="244061" w:themeFill="accent1" w:themeFillShade="80"/>
            <w:vAlign w:val="center"/>
          </w:tcPr>
          <w:p w14:paraId="02DA3A03" w14:textId="13812207" w:rsidR="008D2C16" w:rsidRPr="00EE7081" w:rsidRDefault="006F3298" w:rsidP="00EA0734">
            <w:pPr>
              <w:keepLines/>
              <w:autoSpaceDE w:val="0"/>
              <w:autoSpaceDN w:val="0"/>
              <w:jc w:val="center"/>
              <w:rPr>
                <w:b/>
              </w:rPr>
            </w:pPr>
            <w:r w:rsidRPr="00EE7081">
              <w:rPr>
                <w:b/>
              </w:rPr>
              <w:t xml:space="preserve">Applicant </w:t>
            </w:r>
          </w:p>
        </w:tc>
        <w:tc>
          <w:tcPr>
            <w:tcW w:w="7219" w:type="dxa"/>
            <w:vAlign w:val="center"/>
          </w:tcPr>
          <w:p w14:paraId="08F02DEE" w14:textId="77777777" w:rsidR="008D2C16" w:rsidRPr="00004C86" w:rsidRDefault="008D2C16" w:rsidP="00EA0734">
            <w:pPr>
              <w:keepLines/>
              <w:autoSpaceDE w:val="0"/>
              <w:autoSpaceDN w:val="0"/>
              <w:jc w:val="left"/>
            </w:pPr>
          </w:p>
        </w:tc>
      </w:tr>
      <w:tr w:rsidR="00FB51B0" w:rsidRPr="00EE7081" w14:paraId="0945985F" w14:textId="77777777" w:rsidTr="00D62532">
        <w:trPr>
          <w:trHeight w:val="611"/>
        </w:trPr>
        <w:tc>
          <w:tcPr>
            <w:tcW w:w="2155" w:type="dxa"/>
            <w:shd w:val="clear" w:color="auto" w:fill="244061" w:themeFill="accent1" w:themeFillShade="80"/>
            <w:vAlign w:val="center"/>
          </w:tcPr>
          <w:p w14:paraId="12545E3E" w14:textId="0C0811D3" w:rsidR="00FB51B0" w:rsidRPr="00EE7081" w:rsidRDefault="00FB51B0" w:rsidP="00FB51B0">
            <w:pPr>
              <w:keepLines/>
              <w:autoSpaceDE w:val="0"/>
              <w:autoSpaceDN w:val="0"/>
              <w:jc w:val="center"/>
              <w:rPr>
                <w:b/>
              </w:rPr>
            </w:pPr>
            <w:r w:rsidRPr="00EE7081">
              <w:rPr>
                <w:b/>
              </w:rPr>
              <w:t>Reviewer Name</w:t>
            </w:r>
          </w:p>
        </w:tc>
        <w:tc>
          <w:tcPr>
            <w:tcW w:w="7219" w:type="dxa"/>
            <w:vAlign w:val="center"/>
          </w:tcPr>
          <w:p w14:paraId="49B03DF4" w14:textId="77777777" w:rsidR="00FB51B0" w:rsidRPr="00004C86" w:rsidRDefault="00FB51B0" w:rsidP="00FB51B0">
            <w:pPr>
              <w:keepLines/>
              <w:autoSpaceDE w:val="0"/>
              <w:autoSpaceDN w:val="0"/>
              <w:jc w:val="left"/>
            </w:pPr>
          </w:p>
        </w:tc>
      </w:tr>
      <w:tr w:rsidR="00FB51B0" w:rsidRPr="00EE7081" w14:paraId="0DC40BC4" w14:textId="77777777" w:rsidTr="00D62532">
        <w:trPr>
          <w:trHeight w:val="611"/>
        </w:trPr>
        <w:tc>
          <w:tcPr>
            <w:tcW w:w="2155" w:type="dxa"/>
            <w:shd w:val="clear" w:color="auto" w:fill="244061" w:themeFill="accent1" w:themeFillShade="80"/>
            <w:vAlign w:val="center"/>
          </w:tcPr>
          <w:p w14:paraId="4DF336E6" w14:textId="31F714E8" w:rsidR="00FB51B0" w:rsidRPr="00EE7081" w:rsidRDefault="00FB51B0" w:rsidP="00FB51B0">
            <w:pPr>
              <w:keepLines/>
              <w:autoSpaceDE w:val="0"/>
              <w:autoSpaceDN w:val="0"/>
              <w:jc w:val="center"/>
              <w:rPr>
                <w:b/>
              </w:rPr>
            </w:pPr>
            <w:r>
              <w:rPr>
                <w:b/>
              </w:rPr>
              <w:t>Date</w:t>
            </w:r>
            <w:r w:rsidR="00BB1EA3">
              <w:rPr>
                <w:b/>
              </w:rPr>
              <w:t xml:space="preserve"> Complete</w:t>
            </w:r>
            <w:r w:rsidR="009731FF">
              <w:rPr>
                <w:b/>
              </w:rPr>
              <w:t>d</w:t>
            </w:r>
          </w:p>
        </w:tc>
        <w:tc>
          <w:tcPr>
            <w:tcW w:w="7219" w:type="dxa"/>
            <w:vAlign w:val="center"/>
          </w:tcPr>
          <w:p w14:paraId="068DECDA" w14:textId="77777777" w:rsidR="00FB51B0" w:rsidRPr="00004C86" w:rsidRDefault="00FB51B0" w:rsidP="00FB51B0">
            <w:pPr>
              <w:keepLines/>
              <w:autoSpaceDE w:val="0"/>
              <w:autoSpaceDN w:val="0"/>
              <w:jc w:val="left"/>
            </w:pPr>
          </w:p>
        </w:tc>
      </w:tr>
    </w:tbl>
    <w:p w14:paraId="350403E5" w14:textId="77777777" w:rsidR="008D2C16" w:rsidRPr="00EE7081" w:rsidRDefault="008D2C16" w:rsidP="00EA0734">
      <w:pPr>
        <w:keepLines/>
        <w:autoSpaceDE w:val="0"/>
        <w:autoSpaceDN w:val="0"/>
        <w:jc w:val="both"/>
        <w:rPr>
          <w:rFonts w:eastAsiaTheme="minorHAnsi"/>
          <w:sz w:val="20"/>
          <w:szCs w:val="20"/>
        </w:rPr>
      </w:pPr>
    </w:p>
    <w:p w14:paraId="761629AD" w14:textId="38A21AA5" w:rsidR="008D2C16" w:rsidRPr="00EE7081" w:rsidRDefault="00424412" w:rsidP="00EA0734">
      <w:pPr>
        <w:keepLines/>
        <w:tabs>
          <w:tab w:val="left" w:pos="8250"/>
        </w:tabs>
        <w:autoSpaceDE w:val="0"/>
        <w:autoSpaceDN w:val="0"/>
        <w:jc w:val="both"/>
        <w:rPr>
          <w:rFonts w:eastAsiaTheme="minorHAnsi"/>
          <w:sz w:val="20"/>
          <w:szCs w:val="20"/>
        </w:rPr>
      </w:pPr>
      <w:r>
        <w:rPr>
          <w:rFonts w:eastAsiaTheme="minorHAnsi"/>
          <w:sz w:val="20"/>
          <w:szCs w:val="20"/>
        </w:rPr>
        <w:tab/>
      </w:r>
    </w:p>
    <w:tbl>
      <w:tblPr>
        <w:tblStyle w:val="TableGrid11"/>
        <w:tblW w:w="5044" w:type="pct"/>
        <w:jc w:val="center"/>
        <w:tblLook w:val="04A0" w:firstRow="1" w:lastRow="0" w:firstColumn="1" w:lastColumn="0" w:noHBand="0" w:noVBand="1"/>
      </w:tblPr>
      <w:tblGrid>
        <w:gridCol w:w="6453"/>
        <w:gridCol w:w="2979"/>
      </w:tblGrid>
      <w:tr w:rsidR="00424412" w:rsidRPr="00EE7081" w14:paraId="06266E33" w14:textId="77777777" w:rsidTr="00FB51B0">
        <w:trPr>
          <w:trHeight w:val="576"/>
          <w:jc w:val="center"/>
        </w:trPr>
        <w:tc>
          <w:tcPr>
            <w:tcW w:w="3421" w:type="pct"/>
            <w:shd w:val="clear" w:color="auto" w:fill="244061" w:themeFill="accent1" w:themeFillShade="80"/>
            <w:vAlign w:val="center"/>
          </w:tcPr>
          <w:p w14:paraId="4B49C89C" w14:textId="77777777" w:rsidR="00424412" w:rsidRPr="00EE7081" w:rsidRDefault="00424412" w:rsidP="00EA0734">
            <w:pPr>
              <w:keepLines/>
              <w:autoSpaceDE w:val="0"/>
              <w:autoSpaceDN w:val="0"/>
              <w:spacing w:before="100" w:beforeAutospacing="1" w:after="100" w:afterAutospacing="1" w:line="274" w:lineRule="auto"/>
              <w:contextualSpacing/>
              <w:jc w:val="center"/>
              <w:rPr>
                <w:rFonts w:ascii="Open Sans" w:hAnsi="Open Sans"/>
                <w:b/>
              </w:rPr>
            </w:pPr>
            <w:r w:rsidRPr="00EE7081">
              <w:rPr>
                <w:rFonts w:ascii="Open Sans" w:hAnsi="Open Sans"/>
                <w:b/>
              </w:rPr>
              <w:t>Part</w:t>
            </w:r>
          </w:p>
        </w:tc>
        <w:tc>
          <w:tcPr>
            <w:tcW w:w="1579" w:type="pct"/>
            <w:shd w:val="clear" w:color="auto" w:fill="244061" w:themeFill="accent1" w:themeFillShade="80"/>
            <w:vAlign w:val="center"/>
          </w:tcPr>
          <w:p w14:paraId="68A1DEC3" w14:textId="2B2EACA6" w:rsidR="00424412" w:rsidRPr="00EE7081" w:rsidRDefault="00424412" w:rsidP="00EA0734">
            <w:pPr>
              <w:keepLines/>
              <w:autoSpaceDE w:val="0"/>
              <w:autoSpaceDN w:val="0"/>
              <w:spacing w:before="100" w:beforeAutospacing="1" w:after="100" w:afterAutospacing="1" w:line="274" w:lineRule="auto"/>
              <w:contextualSpacing/>
              <w:jc w:val="center"/>
              <w:rPr>
                <w:rFonts w:ascii="Open Sans" w:hAnsi="Open Sans"/>
                <w:b/>
              </w:rPr>
            </w:pPr>
            <w:r w:rsidRPr="00EE7081">
              <w:rPr>
                <w:rFonts w:ascii="Open Sans" w:hAnsi="Open Sans"/>
                <w:b/>
              </w:rPr>
              <w:t>Points Awarded</w:t>
            </w:r>
          </w:p>
        </w:tc>
      </w:tr>
      <w:tr w:rsidR="0000426B" w:rsidRPr="00EE7081" w14:paraId="103537ED" w14:textId="77777777" w:rsidTr="00FB51B0">
        <w:trPr>
          <w:trHeight w:val="576"/>
          <w:jc w:val="center"/>
        </w:trPr>
        <w:tc>
          <w:tcPr>
            <w:tcW w:w="3421" w:type="pct"/>
            <w:vAlign w:val="center"/>
          </w:tcPr>
          <w:p w14:paraId="4597521F" w14:textId="1B4D840F" w:rsidR="0000426B" w:rsidRPr="00424412" w:rsidRDefault="0000426B" w:rsidP="00F132FF">
            <w:pPr>
              <w:keepLines/>
              <w:autoSpaceDE w:val="0"/>
              <w:autoSpaceDN w:val="0"/>
              <w:spacing w:before="240" w:after="60" w:line="274" w:lineRule="auto"/>
              <w:contextualSpacing/>
              <w:rPr>
                <w:rFonts w:ascii="Open Sans" w:hAnsi="Open Sans"/>
              </w:rPr>
            </w:pPr>
            <w:r w:rsidRPr="00424412">
              <w:rPr>
                <w:rFonts w:ascii="Open Sans" w:hAnsi="Open Sans"/>
              </w:rPr>
              <w:t xml:space="preserve">Part </w:t>
            </w:r>
            <w:r>
              <w:rPr>
                <w:rFonts w:ascii="Open Sans" w:hAnsi="Open Sans"/>
              </w:rPr>
              <w:t>1</w:t>
            </w:r>
            <w:r w:rsidRPr="00424412">
              <w:rPr>
                <w:rFonts w:ascii="Open Sans" w:hAnsi="Open Sans"/>
              </w:rPr>
              <w:t xml:space="preserve">: </w:t>
            </w:r>
            <w:r w:rsidR="003D4FEB">
              <w:rPr>
                <w:rFonts w:ascii="Open Sans" w:hAnsi="Open Sans"/>
              </w:rPr>
              <w:t>Budget Narrative</w:t>
            </w:r>
          </w:p>
        </w:tc>
        <w:tc>
          <w:tcPr>
            <w:tcW w:w="1579" w:type="pct"/>
            <w:vAlign w:val="center"/>
          </w:tcPr>
          <w:p w14:paraId="593638FD" w14:textId="77777777" w:rsidR="0000426B" w:rsidRPr="00424412" w:rsidRDefault="0000426B" w:rsidP="00F132FF">
            <w:pPr>
              <w:keepLines/>
              <w:autoSpaceDE w:val="0"/>
              <w:autoSpaceDN w:val="0"/>
              <w:spacing w:before="240" w:after="60" w:line="274" w:lineRule="auto"/>
              <w:contextualSpacing/>
              <w:jc w:val="center"/>
              <w:rPr>
                <w:rFonts w:ascii="Open Sans" w:hAnsi="Open Sans"/>
                <w:b/>
              </w:rPr>
            </w:pPr>
            <w:r>
              <w:rPr>
                <w:rFonts w:ascii="Open Sans" w:hAnsi="Open Sans"/>
                <w:b/>
              </w:rPr>
              <w:t>/10</w:t>
            </w:r>
          </w:p>
        </w:tc>
      </w:tr>
      <w:tr w:rsidR="0000426B" w:rsidRPr="00EE7081" w14:paraId="4DF56FE9" w14:textId="77777777" w:rsidTr="00FB51B0">
        <w:trPr>
          <w:trHeight w:val="576"/>
          <w:jc w:val="center"/>
        </w:trPr>
        <w:tc>
          <w:tcPr>
            <w:tcW w:w="3421" w:type="pct"/>
            <w:vAlign w:val="center"/>
          </w:tcPr>
          <w:p w14:paraId="16C0C046" w14:textId="508528A2" w:rsidR="0000426B" w:rsidRPr="00424412" w:rsidRDefault="0000426B" w:rsidP="00F132FF">
            <w:pPr>
              <w:keepLines/>
              <w:autoSpaceDE w:val="0"/>
              <w:autoSpaceDN w:val="0"/>
              <w:spacing w:before="240" w:after="60" w:line="274" w:lineRule="auto"/>
              <w:contextualSpacing/>
              <w:rPr>
                <w:rFonts w:ascii="Open Sans" w:hAnsi="Open Sans"/>
              </w:rPr>
            </w:pPr>
            <w:r w:rsidRPr="00424412">
              <w:rPr>
                <w:rFonts w:ascii="Open Sans" w:hAnsi="Open Sans"/>
              </w:rPr>
              <w:t xml:space="preserve">Part </w:t>
            </w:r>
            <w:r>
              <w:rPr>
                <w:rFonts w:ascii="Open Sans" w:hAnsi="Open Sans"/>
              </w:rPr>
              <w:t>2</w:t>
            </w:r>
            <w:r w:rsidRPr="00424412">
              <w:rPr>
                <w:rFonts w:ascii="Open Sans" w:hAnsi="Open Sans"/>
              </w:rPr>
              <w:t xml:space="preserve">: Community Need for </w:t>
            </w:r>
            <w:r w:rsidR="00F94747">
              <w:rPr>
                <w:rFonts w:ascii="Open Sans" w:hAnsi="Open Sans"/>
              </w:rPr>
              <w:t>Adult</w:t>
            </w:r>
            <w:r w:rsidRPr="00424412">
              <w:rPr>
                <w:rFonts w:ascii="Open Sans" w:hAnsi="Open Sans"/>
              </w:rPr>
              <w:t xml:space="preserve"> Education</w:t>
            </w:r>
          </w:p>
        </w:tc>
        <w:tc>
          <w:tcPr>
            <w:tcW w:w="1579" w:type="pct"/>
            <w:vAlign w:val="center"/>
          </w:tcPr>
          <w:p w14:paraId="7B9CEB22" w14:textId="77777777" w:rsidR="0000426B" w:rsidRPr="00424412" w:rsidRDefault="0000426B" w:rsidP="00F132FF">
            <w:pPr>
              <w:keepLines/>
              <w:autoSpaceDE w:val="0"/>
              <w:autoSpaceDN w:val="0"/>
              <w:spacing w:before="240" w:after="60" w:line="274" w:lineRule="auto"/>
              <w:contextualSpacing/>
              <w:jc w:val="center"/>
              <w:rPr>
                <w:rFonts w:ascii="Open Sans" w:hAnsi="Open Sans"/>
                <w:b/>
              </w:rPr>
            </w:pPr>
            <w:r>
              <w:rPr>
                <w:rFonts w:ascii="Open Sans" w:hAnsi="Open Sans"/>
                <w:b/>
              </w:rPr>
              <w:t>/10</w:t>
            </w:r>
          </w:p>
        </w:tc>
      </w:tr>
      <w:tr w:rsidR="0000426B" w:rsidRPr="00EE7081" w14:paraId="244F5C25" w14:textId="77777777" w:rsidTr="00FB51B0">
        <w:trPr>
          <w:trHeight w:val="576"/>
          <w:jc w:val="center"/>
        </w:trPr>
        <w:tc>
          <w:tcPr>
            <w:tcW w:w="3421" w:type="pct"/>
            <w:vAlign w:val="center"/>
          </w:tcPr>
          <w:p w14:paraId="72DBBFD9" w14:textId="18C8F813" w:rsidR="0000426B" w:rsidRPr="00424412" w:rsidRDefault="0000426B" w:rsidP="00F132FF">
            <w:pPr>
              <w:keepLines/>
              <w:autoSpaceDE w:val="0"/>
              <w:autoSpaceDN w:val="0"/>
              <w:spacing w:before="240" w:after="60" w:line="274" w:lineRule="auto"/>
              <w:contextualSpacing/>
              <w:rPr>
                <w:rFonts w:ascii="Open Sans" w:hAnsi="Open Sans"/>
              </w:rPr>
            </w:pPr>
            <w:r w:rsidRPr="00424412">
              <w:rPr>
                <w:rFonts w:ascii="Open Sans" w:hAnsi="Open Sans"/>
              </w:rPr>
              <w:t xml:space="preserve">Part </w:t>
            </w:r>
            <w:r>
              <w:rPr>
                <w:rFonts w:ascii="Open Sans" w:hAnsi="Open Sans"/>
              </w:rPr>
              <w:t>3</w:t>
            </w:r>
            <w:r w:rsidRPr="00424412">
              <w:rPr>
                <w:rFonts w:ascii="Open Sans" w:hAnsi="Open Sans"/>
              </w:rPr>
              <w:t>: Performance</w:t>
            </w:r>
          </w:p>
        </w:tc>
        <w:tc>
          <w:tcPr>
            <w:tcW w:w="1579" w:type="pct"/>
            <w:vAlign w:val="center"/>
          </w:tcPr>
          <w:p w14:paraId="735BD034" w14:textId="77777777" w:rsidR="0000426B" w:rsidRPr="00424412" w:rsidRDefault="0000426B" w:rsidP="00F132FF">
            <w:pPr>
              <w:keepLines/>
              <w:autoSpaceDE w:val="0"/>
              <w:autoSpaceDN w:val="0"/>
              <w:spacing w:before="240" w:after="60" w:line="274" w:lineRule="auto"/>
              <w:contextualSpacing/>
              <w:jc w:val="center"/>
              <w:rPr>
                <w:rFonts w:ascii="Open Sans" w:hAnsi="Open Sans"/>
                <w:b/>
              </w:rPr>
            </w:pPr>
            <w:r>
              <w:rPr>
                <w:rFonts w:ascii="Open Sans" w:hAnsi="Open Sans"/>
                <w:b/>
              </w:rPr>
              <w:t>/30</w:t>
            </w:r>
          </w:p>
        </w:tc>
      </w:tr>
      <w:tr w:rsidR="0000426B" w:rsidRPr="00EE7081" w14:paraId="289732A9" w14:textId="77777777" w:rsidTr="00FB51B0">
        <w:trPr>
          <w:trHeight w:val="576"/>
          <w:jc w:val="center"/>
        </w:trPr>
        <w:tc>
          <w:tcPr>
            <w:tcW w:w="3421" w:type="pct"/>
            <w:vAlign w:val="center"/>
          </w:tcPr>
          <w:p w14:paraId="41DC6CA9" w14:textId="1D0CBC29" w:rsidR="0000426B" w:rsidRPr="00424412" w:rsidRDefault="0000426B" w:rsidP="00F132FF">
            <w:pPr>
              <w:keepLines/>
              <w:autoSpaceDE w:val="0"/>
              <w:autoSpaceDN w:val="0"/>
              <w:spacing w:before="240" w:after="60" w:line="274" w:lineRule="auto"/>
              <w:contextualSpacing/>
              <w:rPr>
                <w:rFonts w:ascii="Open Sans" w:hAnsi="Open Sans"/>
              </w:rPr>
            </w:pPr>
            <w:r w:rsidRPr="00424412">
              <w:rPr>
                <w:rFonts w:ascii="Open Sans" w:hAnsi="Open Sans"/>
              </w:rPr>
              <w:t xml:space="preserve">Part </w:t>
            </w:r>
            <w:r>
              <w:rPr>
                <w:rFonts w:ascii="Open Sans" w:hAnsi="Open Sans"/>
              </w:rPr>
              <w:t>4</w:t>
            </w:r>
            <w:r w:rsidRPr="00424412">
              <w:rPr>
                <w:rFonts w:ascii="Open Sans" w:hAnsi="Open Sans"/>
              </w:rPr>
              <w:t>: Academic Rigor</w:t>
            </w:r>
          </w:p>
        </w:tc>
        <w:tc>
          <w:tcPr>
            <w:tcW w:w="1579" w:type="pct"/>
            <w:vAlign w:val="center"/>
          </w:tcPr>
          <w:p w14:paraId="40416A48" w14:textId="6191EFFE" w:rsidR="0000426B" w:rsidRPr="00424412" w:rsidRDefault="0000426B" w:rsidP="00F132FF">
            <w:pPr>
              <w:keepLines/>
              <w:autoSpaceDE w:val="0"/>
              <w:autoSpaceDN w:val="0"/>
              <w:spacing w:before="240" w:after="60" w:line="274" w:lineRule="auto"/>
              <w:contextualSpacing/>
              <w:jc w:val="center"/>
              <w:rPr>
                <w:rFonts w:ascii="Open Sans" w:hAnsi="Open Sans"/>
                <w:b/>
              </w:rPr>
            </w:pPr>
            <w:r>
              <w:rPr>
                <w:rFonts w:ascii="Open Sans" w:hAnsi="Open Sans"/>
                <w:b/>
              </w:rPr>
              <w:t>/25</w:t>
            </w:r>
          </w:p>
        </w:tc>
      </w:tr>
      <w:tr w:rsidR="0000426B" w:rsidRPr="00EE7081" w14:paraId="11E93225" w14:textId="77777777" w:rsidTr="00FB51B0">
        <w:trPr>
          <w:trHeight w:val="576"/>
          <w:jc w:val="center"/>
        </w:trPr>
        <w:tc>
          <w:tcPr>
            <w:tcW w:w="3421" w:type="pct"/>
            <w:vAlign w:val="center"/>
          </w:tcPr>
          <w:p w14:paraId="1B921A52" w14:textId="15AEEF4A" w:rsidR="0000426B" w:rsidRPr="00424412" w:rsidRDefault="0000426B" w:rsidP="00F132FF">
            <w:pPr>
              <w:keepLines/>
              <w:autoSpaceDE w:val="0"/>
              <w:autoSpaceDN w:val="0"/>
              <w:spacing w:before="240" w:after="60" w:line="274" w:lineRule="auto"/>
              <w:contextualSpacing/>
              <w:rPr>
                <w:rFonts w:ascii="Open Sans" w:hAnsi="Open Sans"/>
              </w:rPr>
            </w:pPr>
            <w:r w:rsidRPr="00424412">
              <w:rPr>
                <w:rFonts w:ascii="Open Sans" w:hAnsi="Open Sans"/>
              </w:rPr>
              <w:t xml:space="preserve">Part </w:t>
            </w:r>
            <w:r>
              <w:rPr>
                <w:rFonts w:ascii="Open Sans" w:hAnsi="Open Sans"/>
              </w:rPr>
              <w:t>5</w:t>
            </w:r>
            <w:r w:rsidRPr="00424412">
              <w:rPr>
                <w:rFonts w:ascii="Open Sans" w:hAnsi="Open Sans"/>
              </w:rPr>
              <w:t>: Use of Technology</w:t>
            </w:r>
          </w:p>
        </w:tc>
        <w:tc>
          <w:tcPr>
            <w:tcW w:w="1579" w:type="pct"/>
            <w:vAlign w:val="center"/>
          </w:tcPr>
          <w:p w14:paraId="4F087123" w14:textId="6345F888" w:rsidR="0000426B" w:rsidRPr="00424412" w:rsidRDefault="0000426B" w:rsidP="00F132FF">
            <w:pPr>
              <w:keepLines/>
              <w:autoSpaceDE w:val="0"/>
              <w:autoSpaceDN w:val="0"/>
              <w:spacing w:before="240" w:after="60" w:line="274" w:lineRule="auto"/>
              <w:contextualSpacing/>
              <w:jc w:val="center"/>
              <w:rPr>
                <w:rFonts w:ascii="Open Sans" w:hAnsi="Open Sans"/>
                <w:b/>
              </w:rPr>
            </w:pPr>
            <w:r>
              <w:rPr>
                <w:rFonts w:ascii="Open Sans" w:hAnsi="Open Sans"/>
                <w:b/>
              </w:rPr>
              <w:t>/25</w:t>
            </w:r>
          </w:p>
        </w:tc>
      </w:tr>
      <w:tr w:rsidR="0000426B" w:rsidRPr="00EE7081" w14:paraId="58FABA7E" w14:textId="77777777" w:rsidTr="00FB51B0">
        <w:trPr>
          <w:trHeight w:val="576"/>
          <w:jc w:val="center"/>
        </w:trPr>
        <w:tc>
          <w:tcPr>
            <w:tcW w:w="3421" w:type="pct"/>
            <w:vAlign w:val="center"/>
          </w:tcPr>
          <w:p w14:paraId="0BEBE51D" w14:textId="77777777" w:rsidR="0000426B" w:rsidRPr="00424412" w:rsidRDefault="0000426B" w:rsidP="00F132FF">
            <w:pPr>
              <w:keepLines/>
              <w:autoSpaceDE w:val="0"/>
              <w:autoSpaceDN w:val="0"/>
              <w:spacing w:before="240" w:after="60" w:line="274" w:lineRule="auto"/>
              <w:contextualSpacing/>
              <w:rPr>
                <w:rFonts w:ascii="Open Sans" w:hAnsi="Open Sans"/>
              </w:rPr>
            </w:pPr>
            <w:r w:rsidRPr="00424412">
              <w:rPr>
                <w:rFonts w:ascii="Open Sans" w:hAnsi="Open Sans"/>
              </w:rPr>
              <w:t>Part 6:  Accommodating Student Needs</w:t>
            </w:r>
          </w:p>
        </w:tc>
        <w:tc>
          <w:tcPr>
            <w:tcW w:w="1579" w:type="pct"/>
            <w:vAlign w:val="center"/>
          </w:tcPr>
          <w:p w14:paraId="73C1482C" w14:textId="77777777" w:rsidR="0000426B" w:rsidRPr="00424412" w:rsidRDefault="0000426B" w:rsidP="00F132FF">
            <w:pPr>
              <w:keepLines/>
              <w:autoSpaceDE w:val="0"/>
              <w:autoSpaceDN w:val="0"/>
              <w:spacing w:before="240" w:after="60" w:line="274" w:lineRule="auto"/>
              <w:contextualSpacing/>
              <w:jc w:val="center"/>
              <w:rPr>
                <w:rFonts w:ascii="Open Sans" w:hAnsi="Open Sans"/>
                <w:b/>
              </w:rPr>
            </w:pPr>
            <w:r>
              <w:rPr>
                <w:rFonts w:ascii="Open Sans" w:hAnsi="Open Sans"/>
                <w:b/>
              </w:rPr>
              <w:t>/25</w:t>
            </w:r>
          </w:p>
        </w:tc>
      </w:tr>
      <w:tr w:rsidR="0000426B" w:rsidRPr="00EE7081" w14:paraId="4A7F2D10" w14:textId="77777777" w:rsidTr="00FB51B0">
        <w:trPr>
          <w:trHeight w:val="576"/>
          <w:jc w:val="center"/>
        </w:trPr>
        <w:tc>
          <w:tcPr>
            <w:tcW w:w="3421" w:type="pct"/>
            <w:vAlign w:val="center"/>
          </w:tcPr>
          <w:p w14:paraId="30156F9F" w14:textId="43F3CD32" w:rsidR="0000426B" w:rsidRPr="00424412" w:rsidRDefault="0000426B" w:rsidP="00F132FF">
            <w:pPr>
              <w:keepLines/>
              <w:autoSpaceDE w:val="0"/>
              <w:autoSpaceDN w:val="0"/>
              <w:spacing w:before="240" w:after="60" w:line="274" w:lineRule="auto"/>
              <w:contextualSpacing/>
              <w:rPr>
                <w:rFonts w:ascii="Open Sans" w:hAnsi="Open Sans"/>
              </w:rPr>
            </w:pPr>
            <w:r w:rsidRPr="00424412">
              <w:rPr>
                <w:rFonts w:ascii="Open Sans" w:hAnsi="Open Sans"/>
              </w:rPr>
              <w:t xml:space="preserve">Part </w:t>
            </w:r>
            <w:r>
              <w:rPr>
                <w:rFonts w:ascii="Open Sans" w:hAnsi="Open Sans"/>
              </w:rPr>
              <w:t>7</w:t>
            </w:r>
            <w:r w:rsidRPr="00424412">
              <w:rPr>
                <w:rFonts w:ascii="Open Sans" w:hAnsi="Open Sans"/>
              </w:rPr>
              <w:t>: High-Quality Staff</w:t>
            </w:r>
          </w:p>
        </w:tc>
        <w:tc>
          <w:tcPr>
            <w:tcW w:w="1579" w:type="pct"/>
            <w:vAlign w:val="center"/>
          </w:tcPr>
          <w:p w14:paraId="4167E9BF" w14:textId="77777777" w:rsidR="0000426B" w:rsidRPr="00424412" w:rsidRDefault="0000426B" w:rsidP="00F132FF">
            <w:pPr>
              <w:keepLines/>
              <w:autoSpaceDE w:val="0"/>
              <w:autoSpaceDN w:val="0"/>
              <w:spacing w:before="240" w:after="60" w:line="274" w:lineRule="auto"/>
              <w:contextualSpacing/>
              <w:jc w:val="center"/>
              <w:rPr>
                <w:rFonts w:ascii="Open Sans" w:hAnsi="Open Sans"/>
                <w:b/>
              </w:rPr>
            </w:pPr>
            <w:r>
              <w:rPr>
                <w:rFonts w:ascii="Open Sans" w:hAnsi="Open Sans"/>
                <w:b/>
              </w:rPr>
              <w:t>/25</w:t>
            </w:r>
          </w:p>
        </w:tc>
      </w:tr>
      <w:tr w:rsidR="0000426B" w:rsidRPr="00EE7081" w14:paraId="40737007" w14:textId="77777777" w:rsidTr="00FB51B0">
        <w:trPr>
          <w:trHeight w:val="576"/>
          <w:jc w:val="center"/>
        </w:trPr>
        <w:tc>
          <w:tcPr>
            <w:tcW w:w="3421" w:type="pct"/>
            <w:vAlign w:val="center"/>
          </w:tcPr>
          <w:p w14:paraId="62682C12" w14:textId="77777777" w:rsidR="0000426B" w:rsidRPr="00424412" w:rsidRDefault="0000426B" w:rsidP="00F132FF">
            <w:pPr>
              <w:keepLines/>
              <w:autoSpaceDE w:val="0"/>
              <w:autoSpaceDN w:val="0"/>
              <w:spacing w:before="240" w:after="60" w:line="274" w:lineRule="auto"/>
              <w:contextualSpacing/>
              <w:rPr>
                <w:rFonts w:ascii="Open Sans" w:hAnsi="Open Sans"/>
              </w:rPr>
            </w:pPr>
            <w:r w:rsidRPr="00424412">
              <w:rPr>
                <w:rFonts w:ascii="Open Sans" w:hAnsi="Open Sans"/>
              </w:rPr>
              <w:t>Part 8:  Students with Disabilities</w:t>
            </w:r>
          </w:p>
        </w:tc>
        <w:tc>
          <w:tcPr>
            <w:tcW w:w="1579" w:type="pct"/>
            <w:vAlign w:val="center"/>
          </w:tcPr>
          <w:p w14:paraId="516F9351" w14:textId="77777777" w:rsidR="0000426B" w:rsidRPr="00424412" w:rsidRDefault="0000426B" w:rsidP="00F132FF">
            <w:pPr>
              <w:keepLines/>
              <w:autoSpaceDE w:val="0"/>
              <w:autoSpaceDN w:val="0"/>
              <w:spacing w:before="240" w:after="60" w:line="274" w:lineRule="auto"/>
              <w:contextualSpacing/>
              <w:jc w:val="center"/>
              <w:rPr>
                <w:rFonts w:ascii="Open Sans" w:hAnsi="Open Sans"/>
                <w:b/>
              </w:rPr>
            </w:pPr>
            <w:r>
              <w:rPr>
                <w:rFonts w:ascii="Open Sans" w:hAnsi="Open Sans"/>
                <w:b/>
              </w:rPr>
              <w:t>/10</w:t>
            </w:r>
          </w:p>
        </w:tc>
      </w:tr>
      <w:tr w:rsidR="0000426B" w:rsidRPr="00EE7081" w14:paraId="3CDC8815" w14:textId="77777777" w:rsidTr="00FB51B0">
        <w:trPr>
          <w:trHeight w:val="576"/>
          <w:jc w:val="center"/>
        </w:trPr>
        <w:tc>
          <w:tcPr>
            <w:tcW w:w="3421" w:type="pct"/>
            <w:vAlign w:val="center"/>
          </w:tcPr>
          <w:p w14:paraId="70CB8C31" w14:textId="40A7F7A9" w:rsidR="0000426B" w:rsidRPr="00424412" w:rsidRDefault="0000426B" w:rsidP="00F132FF">
            <w:pPr>
              <w:keepLines/>
              <w:autoSpaceDE w:val="0"/>
              <w:autoSpaceDN w:val="0"/>
              <w:spacing w:before="240" w:after="60" w:line="274" w:lineRule="auto"/>
              <w:contextualSpacing/>
              <w:rPr>
                <w:rFonts w:ascii="Open Sans" w:hAnsi="Open Sans"/>
              </w:rPr>
            </w:pPr>
            <w:r w:rsidRPr="00424412">
              <w:rPr>
                <w:rFonts w:ascii="Open Sans" w:hAnsi="Open Sans"/>
              </w:rPr>
              <w:t xml:space="preserve">Part </w:t>
            </w:r>
            <w:r>
              <w:rPr>
                <w:rFonts w:ascii="Open Sans" w:hAnsi="Open Sans"/>
              </w:rPr>
              <w:t>9</w:t>
            </w:r>
            <w:r w:rsidRPr="00424412">
              <w:rPr>
                <w:rFonts w:ascii="Open Sans" w:hAnsi="Open Sans"/>
              </w:rPr>
              <w:t>: Contextualized Learning</w:t>
            </w:r>
          </w:p>
        </w:tc>
        <w:tc>
          <w:tcPr>
            <w:tcW w:w="1579" w:type="pct"/>
            <w:vAlign w:val="center"/>
          </w:tcPr>
          <w:p w14:paraId="4BCE1A87" w14:textId="77777777" w:rsidR="0000426B" w:rsidRPr="00424412" w:rsidRDefault="0000426B" w:rsidP="00F132FF">
            <w:pPr>
              <w:keepLines/>
              <w:autoSpaceDE w:val="0"/>
              <w:autoSpaceDN w:val="0"/>
              <w:spacing w:before="240" w:after="60" w:line="274" w:lineRule="auto"/>
              <w:contextualSpacing/>
              <w:jc w:val="center"/>
              <w:rPr>
                <w:rFonts w:ascii="Open Sans" w:hAnsi="Open Sans"/>
                <w:b/>
              </w:rPr>
            </w:pPr>
            <w:r>
              <w:rPr>
                <w:rFonts w:ascii="Open Sans" w:hAnsi="Open Sans"/>
                <w:b/>
              </w:rPr>
              <w:t>/10</w:t>
            </w:r>
          </w:p>
        </w:tc>
      </w:tr>
      <w:tr w:rsidR="00424412" w:rsidRPr="00EE7081" w14:paraId="485BDCE9" w14:textId="77777777" w:rsidTr="00FB51B0">
        <w:trPr>
          <w:trHeight w:val="576"/>
          <w:jc w:val="center"/>
        </w:trPr>
        <w:tc>
          <w:tcPr>
            <w:tcW w:w="3421" w:type="pct"/>
            <w:vAlign w:val="center"/>
          </w:tcPr>
          <w:p w14:paraId="778E68FE" w14:textId="6F4D0628" w:rsidR="00424412" w:rsidRPr="00424412" w:rsidRDefault="00424412" w:rsidP="00EA0734">
            <w:pPr>
              <w:keepLines/>
              <w:autoSpaceDE w:val="0"/>
              <w:autoSpaceDN w:val="0"/>
              <w:spacing w:before="240" w:after="60" w:line="274" w:lineRule="auto"/>
              <w:contextualSpacing/>
              <w:rPr>
                <w:rFonts w:ascii="Open Sans" w:hAnsi="Open Sans"/>
              </w:rPr>
            </w:pPr>
            <w:r w:rsidRPr="00424412">
              <w:rPr>
                <w:rFonts w:ascii="Open Sans" w:hAnsi="Open Sans"/>
              </w:rPr>
              <w:t xml:space="preserve">Part </w:t>
            </w:r>
            <w:r w:rsidR="0000426B">
              <w:rPr>
                <w:rFonts w:ascii="Open Sans" w:hAnsi="Open Sans"/>
              </w:rPr>
              <w:t>10</w:t>
            </w:r>
            <w:r w:rsidRPr="00424412">
              <w:rPr>
                <w:rFonts w:ascii="Open Sans" w:hAnsi="Open Sans"/>
              </w:rPr>
              <w:t>: Cross-Agency Collaboration</w:t>
            </w:r>
          </w:p>
        </w:tc>
        <w:tc>
          <w:tcPr>
            <w:tcW w:w="1579" w:type="pct"/>
            <w:vAlign w:val="center"/>
          </w:tcPr>
          <w:p w14:paraId="2D5EDF12" w14:textId="2A0F3D2D" w:rsidR="00424412" w:rsidRPr="00424412" w:rsidRDefault="00553CAC" w:rsidP="00EA0734">
            <w:pPr>
              <w:keepLines/>
              <w:autoSpaceDE w:val="0"/>
              <w:autoSpaceDN w:val="0"/>
              <w:spacing w:before="240" w:after="60" w:line="274" w:lineRule="auto"/>
              <w:contextualSpacing/>
              <w:jc w:val="center"/>
              <w:rPr>
                <w:rFonts w:ascii="Open Sans" w:hAnsi="Open Sans"/>
                <w:b/>
              </w:rPr>
            </w:pPr>
            <w:r>
              <w:rPr>
                <w:rFonts w:ascii="Open Sans" w:hAnsi="Open Sans"/>
                <w:b/>
              </w:rPr>
              <w:t>/10</w:t>
            </w:r>
          </w:p>
        </w:tc>
      </w:tr>
      <w:tr w:rsidR="00424412" w:rsidRPr="00EE7081" w14:paraId="6237281C" w14:textId="77777777" w:rsidTr="00FB51B0">
        <w:trPr>
          <w:trHeight w:val="576"/>
          <w:jc w:val="center"/>
        </w:trPr>
        <w:tc>
          <w:tcPr>
            <w:tcW w:w="3421" w:type="pct"/>
            <w:vAlign w:val="center"/>
          </w:tcPr>
          <w:p w14:paraId="30C0845C" w14:textId="118AE274" w:rsidR="00424412" w:rsidRPr="00424412" w:rsidRDefault="00424412" w:rsidP="00EA0734">
            <w:pPr>
              <w:keepLines/>
              <w:autoSpaceDE w:val="0"/>
              <w:autoSpaceDN w:val="0"/>
              <w:spacing w:before="240" w:after="60" w:line="274" w:lineRule="auto"/>
              <w:contextualSpacing/>
              <w:rPr>
                <w:rFonts w:ascii="Open Sans" w:hAnsi="Open Sans"/>
              </w:rPr>
            </w:pPr>
            <w:r w:rsidRPr="00424412">
              <w:rPr>
                <w:rFonts w:ascii="Open Sans" w:hAnsi="Open Sans"/>
              </w:rPr>
              <w:t xml:space="preserve">Part </w:t>
            </w:r>
            <w:r w:rsidR="0000426B">
              <w:rPr>
                <w:rFonts w:ascii="Open Sans" w:hAnsi="Open Sans"/>
              </w:rPr>
              <w:t>11</w:t>
            </w:r>
            <w:r w:rsidRPr="00424412">
              <w:rPr>
                <w:rFonts w:ascii="Open Sans" w:hAnsi="Open Sans"/>
              </w:rPr>
              <w:t>: Local Plan Alignment</w:t>
            </w:r>
          </w:p>
        </w:tc>
        <w:tc>
          <w:tcPr>
            <w:tcW w:w="1579" w:type="pct"/>
            <w:vAlign w:val="center"/>
          </w:tcPr>
          <w:p w14:paraId="64A287C0" w14:textId="28AABBF4" w:rsidR="00424412" w:rsidRPr="00424412" w:rsidRDefault="00553CAC" w:rsidP="00EA0734">
            <w:pPr>
              <w:keepLines/>
              <w:autoSpaceDE w:val="0"/>
              <w:autoSpaceDN w:val="0"/>
              <w:spacing w:before="240" w:after="60" w:line="274" w:lineRule="auto"/>
              <w:contextualSpacing/>
              <w:jc w:val="center"/>
              <w:rPr>
                <w:rFonts w:ascii="Open Sans" w:hAnsi="Open Sans"/>
                <w:b/>
              </w:rPr>
            </w:pPr>
            <w:r>
              <w:rPr>
                <w:rFonts w:ascii="Open Sans" w:hAnsi="Open Sans"/>
                <w:b/>
              </w:rPr>
              <w:t>/10</w:t>
            </w:r>
          </w:p>
        </w:tc>
      </w:tr>
      <w:tr w:rsidR="00424412" w:rsidRPr="00EE7081" w14:paraId="7B2AF60B" w14:textId="77777777" w:rsidTr="00FB51B0">
        <w:trPr>
          <w:trHeight w:val="576"/>
          <w:jc w:val="center"/>
        </w:trPr>
        <w:tc>
          <w:tcPr>
            <w:tcW w:w="3421" w:type="pct"/>
            <w:vAlign w:val="center"/>
          </w:tcPr>
          <w:p w14:paraId="72C76FD1" w14:textId="0C2A6C0E" w:rsidR="00424412" w:rsidRPr="00424412" w:rsidRDefault="00424412" w:rsidP="00EA0734">
            <w:pPr>
              <w:keepLines/>
              <w:autoSpaceDE w:val="0"/>
              <w:autoSpaceDN w:val="0"/>
              <w:spacing w:before="240" w:after="60" w:line="274" w:lineRule="auto"/>
              <w:contextualSpacing/>
              <w:rPr>
                <w:rFonts w:ascii="Open Sans" w:hAnsi="Open Sans"/>
              </w:rPr>
            </w:pPr>
            <w:r w:rsidRPr="00424412">
              <w:rPr>
                <w:rFonts w:ascii="Open Sans" w:hAnsi="Open Sans"/>
              </w:rPr>
              <w:t xml:space="preserve">Part </w:t>
            </w:r>
            <w:r w:rsidR="0000426B">
              <w:rPr>
                <w:rFonts w:ascii="Open Sans" w:hAnsi="Open Sans"/>
              </w:rPr>
              <w:t>12</w:t>
            </w:r>
            <w:r w:rsidRPr="00424412">
              <w:rPr>
                <w:rFonts w:ascii="Open Sans" w:hAnsi="Open Sans"/>
              </w:rPr>
              <w:t>:  One-Stop Participation</w:t>
            </w:r>
          </w:p>
        </w:tc>
        <w:tc>
          <w:tcPr>
            <w:tcW w:w="1579" w:type="pct"/>
            <w:vAlign w:val="center"/>
          </w:tcPr>
          <w:p w14:paraId="68199D69" w14:textId="73F8489B" w:rsidR="00424412" w:rsidRPr="00424412" w:rsidRDefault="00553CAC" w:rsidP="00EA0734">
            <w:pPr>
              <w:keepLines/>
              <w:autoSpaceDE w:val="0"/>
              <w:autoSpaceDN w:val="0"/>
              <w:spacing w:before="240" w:after="60" w:line="274" w:lineRule="auto"/>
              <w:contextualSpacing/>
              <w:jc w:val="center"/>
              <w:rPr>
                <w:rFonts w:ascii="Open Sans" w:hAnsi="Open Sans"/>
                <w:b/>
              </w:rPr>
            </w:pPr>
            <w:r>
              <w:rPr>
                <w:rFonts w:ascii="Open Sans" w:hAnsi="Open Sans"/>
                <w:b/>
              </w:rPr>
              <w:t>/</w:t>
            </w:r>
            <w:r w:rsidR="002A1A62">
              <w:rPr>
                <w:rFonts w:ascii="Open Sans" w:hAnsi="Open Sans"/>
                <w:b/>
              </w:rPr>
              <w:t>5</w:t>
            </w:r>
          </w:p>
        </w:tc>
      </w:tr>
      <w:tr w:rsidR="00424412" w:rsidRPr="00EE7081" w14:paraId="21BE352F" w14:textId="77777777" w:rsidTr="00FB51B0">
        <w:trPr>
          <w:trHeight w:val="576"/>
          <w:jc w:val="center"/>
        </w:trPr>
        <w:tc>
          <w:tcPr>
            <w:tcW w:w="3421" w:type="pct"/>
            <w:vAlign w:val="center"/>
          </w:tcPr>
          <w:p w14:paraId="67215C23" w14:textId="327F1E8C" w:rsidR="00424412" w:rsidRPr="00424412" w:rsidRDefault="00424412" w:rsidP="00EA0734">
            <w:pPr>
              <w:keepLines/>
              <w:autoSpaceDE w:val="0"/>
              <w:autoSpaceDN w:val="0"/>
              <w:spacing w:before="240" w:after="60" w:line="274" w:lineRule="auto"/>
              <w:contextualSpacing/>
              <w:rPr>
                <w:rFonts w:ascii="Open Sans" w:hAnsi="Open Sans"/>
              </w:rPr>
            </w:pPr>
            <w:r w:rsidRPr="00424412">
              <w:rPr>
                <w:rFonts w:ascii="Open Sans" w:hAnsi="Open Sans"/>
              </w:rPr>
              <w:t>Part 13: GEPA Section 427</w:t>
            </w:r>
          </w:p>
        </w:tc>
        <w:tc>
          <w:tcPr>
            <w:tcW w:w="1579" w:type="pct"/>
            <w:vAlign w:val="center"/>
          </w:tcPr>
          <w:p w14:paraId="05D88ADA" w14:textId="35DE14AC" w:rsidR="00424412" w:rsidRPr="00424412" w:rsidRDefault="002A1A62" w:rsidP="00EA0734">
            <w:pPr>
              <w:keepLines/>
              <w:autoSpaceDE w:val="0"/>
              <w:autoSpaceDN w:val="0"/>
              <w:spacing w:before="240" w:after="60" w:line="274" w:lineRule="auto"/>
              <w:contextualSpacing/>
              <w:jc w:val="center"/>
              <w:rPr>
                <w:rFonts w:ascii="Open Sans" w:hAnsi="Open Sans"/>
                <w:b/>
              </w:rPr>
            </w:pPr>
            <w:r>
              <w:rPr>
                <w:rFonts w:ascii="Open Sans" w:hAnsi="Open Sans"/>
                <w:b/>
              </w:rPr>
              <w:t>/5</w:t>
            </w:r>
          </w:p>
        </w:tc>
      </w:tr>
      <w:tr w:rsidR="00004C86" w:rsidRPr="00004C86" w14:paraId="2615E77F" w14:textId="77777777" w:rsidTr="00FB51B0">
        <w:trPr>
          <w:trHeight w:val="576"/>
          <w:jc w:val="center"/>
        </w:trPr>
        <w:tc>
          <w:tcPr>
            <w:tcW w:w="3421" w:type="pct"/>
            <w:shd w:val="clear" w:color="auto" w:fill="820000"/>
            <w:vAlign w:val="center"/>
          </w:tcPr>
          <w:p w14:paraId="565FBD31" w14:textId="2AE45869" w:rsidR="00424412" w:rsidRPr="00004C86" w:rsidRDefault="00553CAC" w:rsidP="00EA0734">
            <w:pPr>
              <w:keepLines/>
              <w:autoSpaceDE w:val="0"/>
              <w:autoSpaceDN w:val="0"/>
              <w:spacing w:before="240" w:after="60" w:line="274" w:lineRule="auto"/>
              <w:contextualSpacing/>
              <w:jc w:val="right"/>
              <w:rPr>
                <w:rFonts w:ascii="Open Sans" w:hAnsi="Open Sans"/>
                <w:b/>
                <w:bCs/>
                <w:color w:val="FFFFFF" w:themeColor="background1"/>
              </w:rPr>
            </w:pPr>
            <w:r w:rsidRPr="00004C86">
              <w:rPr>
                <w:rFonts w:ascii="Open Sans" w:hAnsi="Open Sans"/>
                <w:b/>
                <w:bCs/>
                <w:color w:val="FFFFFF" w:themeColor="background1"/>
              </w:rPr>
              <w:t>Total Points</w:t>
            </w:r>
          </w:p>
        </w:tc>
        <w:tc>
          <w:tcPr>
            <w:tcW w:w="1579" w:type="pct"/>
            <w:shd w:val="clear" w:color="auto" w:fill="820000"/>
            <w:vAlign w:val="center"/>
          </w:tcPr>
          <w:p w14:paraId="31E9F0AB" w14:textId="6F2D5827" w:rsidR="00424412" w:rsidRPr="00004C86" w:rsidRDefault="00553CAC" w:rsidP="00EA0734">
            <w:pPr>
              <w:keepLines/>
              <w:autoSpaceDE w:val="0"/>
              <w:autoSpaceDN w:val="0"/>
              <w:spacing w:before="240" w:after="60" w:line="274" w:lineRule="auto"/>
              <w:contextualSpacing/>
              <w:jc w:val="center"/>
              <w:rPr>
                <w:rFonts w:ascii="Open Sans" w:hAnsi="Open Sans"/>
                <w:b/>
                <w:color w:val="FFFFFF" w:themeColor="background1"/>
              </w:rPr>
            </w:pPr>
            <w:r w:rsidRPr="00004C86">
              <w:rPr>
                <w:rFonts w:ascii="Open Sans" w:hAnsi="Open Sans"/>
                <w:b/>
                <w:color w:val="FFFFFF" w:themeColor="background1"/>
              </w:rPr>
              <w:t>/200</w:t>
            </w:r>
          </w:p>
        </w:tc>
      </w:tr>
      <w:tr w:rsidR="00087FC9" w:rsidRPr="00004C86" w14:paraId="6930C0B0" w14:textId="77777777" w:rsidTr="00FB51B0">
        <w:trPr>
          <w:trHeight w:val="576"/>
          <w:jc w:val="center"/>
        </w:trPr>
        <w:tc>
          <w:tcPr>
            <w:tcW w:w="3421" w:type="pct"/>
            <w:shd w:val="clear" w:color="auto" w:fill="820000"/>
            <w:vAlign w:val="center"/>
          </w:tcPr>
          <w:p w14:paraId="0F05CEED" w14:textId="1832962B" w:rsidR="00087FC9" w:rsidRPr="00004C86" w:rsidRDefault="00087FC9" w:rsidP="00EA0734">
            <w:pPr>
              <w:keepLines/>
              <w:autoSpaceDE w:val="0"/>
              <w:autoSpaceDN w:val="0"/>
              <w:spacing w:before="240" w:after="60" w:line="274" w:lineRule="auto"/>
              <w:contextualSpacing/>
              <w:jc w:val="right"/>
              <w:rPr>
                <w:rFonts w:ascii="Open Sans" w:hAnsi="Open Sans"/>
                <w:b/>
                <w:bCs/>
                <w:color w:val="FFFFFF" w:themeColor="background1"/>
              </w:rPr>
            </w:pPr>
            <w:r>
              <w:rPr>
                <w:rFonts w:ascii="Open Sans" w:hAnsi="Open Sans"/>
                <w:b/>
                <w:bCs/>
                <w:color w:val="FFFFFF" w:themeColor="background1"/>
              </w:rPr>
              <w:t>Recommended for Funding</w:t>
            </w:r>
          </w:p>
        </w:tc>
        <w:tc>
          <w:tcPr>
            <w:tcW w:w="1579" w:type="pct"/>
            <w:shd w:val="clear" w:color="auto" w:fill="820000"/>
            <w:vAlign w:val="center"/>
          </w:tcPr>
          <w:p w14:paraId="6CE0051B" w14:textId="3835B98C" w:rsidR="00087FC9" w:rsidRPr="00004C86" w:rsidRDefault="00087FC9" w:rsidP="00EA0734">
            <w:pPr>
              <w:keepLines/>
              <w:autoSpaceDE w:val="0"/>
              <w:autoSpaceDN w:val="0"/>
              <w:spacing w:before="240" w:after="60" w:line="274" w:lineRule="auto"/>
              <w:contextualSpacing/>
              <w:jc w:val="center"/>
              <w:rPr>
                <w:rFonts w:ascii="Open Sans" w:hAnsi="Open Sans"/>
                <w:b/>
                <w:color w:val="FFFFFF" w:themeColor="background1"/>
              </w:rPr>
            </w:pPr>
            <w:r>
              <w:rPr>
                <w:rFonts w:ascii="Open Sans" w:hAnsi="Open Sans"/>
                <w:b/>
                <w:color w:val="FFFFFF" w:themeColor="background1"/>
              </w:rPr>
              <w:t>Yes or No</w:t>
            </w:r>
          </w:p>
        </w:tc>
      </w:tr>
    </w:tbl>
    <w:tbl>
      <w:tblPr>
        <w:tblStyle w:val="TableGrid1"/>
        <w:tblW w:w="0" w:type="auto"/>
        <w:tblCellMar>
          <w:top w:w="115" w:type="dxa"/>
          <w:left w:w="115" w:type="dxa"/>
          <w:bottom w:w="115" w:type="dxa"/>
          <w:right w:w="115" w:type="dxa"/>
        </w:tblCellMar>
        <w:tblLook w:val="04A0" w:firstRow="1" w:lastRow="0" w:firstColumn="1" w:lastColumn="0" w:noHBand="0" w:noVBand="1"/>
      </w:tblPr>
      <w:tblGrid>
        <w:gridCol w:w="7056"/>
        <w:gridCol w:w="2294"/>
      </w:tblGrid>
      <w:tr w:rsidR="008D2C16" w:rsidRPr="00EE7081" w14:paraId="7B4C3C71" w14:textId="77777777" w:rsidTr="00DE5333">
        <w:trPr>
          <w:cantSplit/>
          <w:trHeight w:val="377"/>
        </w:trPr>
        <w:tc>
          <w:tcPr>
            <w:tcW w:w="9350" w:type="dxa"/>
            <w:gridSpan w:val="2"/>
            <w:shd w:val="clear" w:color="auto" w:fill="17365D" w:themeFill="text2" w:themeFillShade="BF"/>
            <w:vAlign w:val="center"/>
          </w:tcPr>
          <w:p w14:paraId="61A46890" w14:textId="688D6383" w:rsidR="008D2C16" w:rsidRPr="00EE7081" w:rsidRDefault="008D2C16" w:rsidP="00EA0734">
            <w:pPr>
              <w:keepLines/>
              <w:autoSpaceDE w:val="0"/>
              <w:autoSpaceDN w:val="0"/>
              <w:spacing w:line="299" w:lineRule="exact"/>
              <w:ind w:left="101"/>
              <w:jc w:val="center"/>
              <w:rPr>
                <w:b/>
                <w:bCs/>
              </w:rPr>
            </w:pPr>
            <w:r w:rsidRPr="00EE7081">
              <w:rPr>
                <w:b/>
                <w:bCs/>
              </w:rPr>
              <w:lastRenderedPageBreak/>
              <w:t>PART 1</w:t>
            </w:r>
            <w:r w:rsidR="003A10A3">
              <w:rPr>
                <w:b/>
                <w:bCs/>
              </w:rPr>
              <w:t xml:space="preserve">: </w:t>
            </w:r>
            <w:r w:rsidR="00A97F6B">
              <w:rPr>
                <w:b/>
                <w:bCs/>
              </w:rPr>
              <w:t>BUDGET NARRATIVE</w:t>
            </w:r>
            <w:r w:rsidR="000F0AF2">
              <w:rPr>
                <w:b/>
                <w:bCs/>
              </w:rPr>
              <w:t xml:space="preserve"> – 10 </w:t>
            </w:r>
            <w:r w:rsidRPr="00EE7081">
              <w:rPr>
                <w:b/>
                <w:bCs/>
              </w:rPr>
              <w:t>points possible</w:t>
            </w:r>
          </w:p>
        </w:tc>
      </w:tr>
      <w:tr w:rsidR="008D2C16" w:rsidRPr="00EE7081" w14:paraId="41D99B76" w14:textId="77777777" w:rsidTr="00DE5333">
        <w:trPr>
          <w:cantSplit/>
          <w:trHeight w:val="377"/>
        </w:trPr>
        <w:tc>
          <w:tcPr>
            <w:tcW w:w="9350" w:type="dxa"/>
            <w:gridSpan w:val="2"/>
            <w:shd w:val="clear" w:color="auto" w:fill="DBE5F1" w:themeFill="accent1" w:themeFillTint="33"/>
            <w:vAlign w:val="center"/>
          </w:tcPr>
          <w:p w14:paraId="36B7BCFA" w14:textId="387091AE" w:rsidR="008D2C16" w:rsidRPr="00EE7081" w:rsidRDefault="00902ABB" w:rsidP="00EA0734">
            <w:pPr>
              <w:keepLines/>
              <w:autoSpaceDE w:val="0"/>
              <w:autoSpaceDN w:val="0"/>
              <w:spacing w:line="299" w:lineRule="exact"/>
              <w:ind w:left="101"/>
              <w:rPr>
                <w:sz w:val="20"/>
                <w:szCs w:val="20"/>
              </w:rPr>
            </w:pPr>
            <w:r>
              <w:rPr>
                <w:sz w:val="20"/>
                <w:szCs w:val="20"/>
              </w:rPr>
              <w:t>This part is the budget narrative referenced in Appendix C.</w:t>
            </w:r>
            <w:r>
              <w:rPr>
                <w:sz w:val="20"/>
                <w:szCs w:val="20"/>
              </w:rPr>
              <w:t xml:space="preserve"> </w:t>
            </w:r>
            <w:r w:rsidR="008D2C16" w:rsidRPr="00EE7081">
              <w:rPr>
                <w:sz w:val="20"/>
                <w:szCs w:val="20"/>
              </w:rPr>
              <w:t>Describe how funds awarded will be spent consistent with the requirements of title II of AEFLA. (See Required Information 1.)</w:t>
            </w:r>
          </w:p>
        </w:tc>
      </w:tr>
      <w:tr w:rsidR="008D2C16" w:rsidRPr="00EE7081" w14:paraId="78574FA7" w14:textId="77777777" w:rsidTr="00DE5333">
        <w:trPr>
          <w:cantSplit/>
          <w:trHeight w:val="377"/>
        </w:trPr>
        <w:tc>
          <w:tcPr>
            <w:tcW w:w="7056" w:type="dxa"/>
            <w:vAlign w:val="center"/>
          </w:tcPr>
          <w:p w14:paraId="542DD322" w14:textId="2D109E98" w:rsidR="008D2C16" w:rsidRPr="00EE7081" w:rsidRDefault="001D7592" w:rsidP="00EA0734">
            <w:pPr>
              <w:keepLines/>
              <w:autoSpaceDE w:val="0"/>
              <w:autoSpaceDN w:val="0"/>
              <w:spacing w:line="299" w:lineRule="exact"/>
              <w:ind w:left="107"/>
              <w:rPr>
                <w:sz w:val="20"/>
                <w:szCs w:val="20"/>
              </w:rPr>
            </w:pPr>
            <w:r w:rsidRPr="00EE7081">
              <w:rPr>
                <w:w w:val="110"/>
                <w:sz w:val="20"/>
                <w:szCs w:val="20"/>
              </w:rPr>
              <w:t xml:space="preserve">No or poor description of how funds will be used. </w:t>
            </w:r>
            <w:r>
              <w:rPr>
                <w:w w:val="110"/>
                <w:sz w:val="20"/>
                <w:szCs w:val="20"/>
              </w:rPr>
              <w:t>Poor attempt to break down and describe specific costs and categories (i.e., for class structure and teaching personnel, support functions and personnel, and program development, office, facilities, and admin support).</w:t>
            </w:r>
          </w:p>
        </w:tc>
        <w:tc>
          <w:tcPr>
            <w:tcW w:w="2294" w:type="dxa"/>
            <w:vAlign w:val="center"/>
          </w:tcPr>
          <w:p w14:paraId="7D09B450" w14:textId="77777777" w:rsidR="008D2C16" w:rsidRPr="00EE7081" w:rsidRDefault="008D2C16" w:rsidP="00EA0734">
            <w:pPr>
              <w:keepLines/>
              <w:autoSpaceDE w:val="0"/>
              <w:autoSpaceDN w:val="0"/>
              <w:spacing w:line="299" w:lineRule="exact"/>
              <w:ind w:left="107"/>
              <w:jc w:val="center"/>
              <w:rPr>
                <w:sz w:val="20"/>
                <w:szCs w:val="20"/>
              </w:rPr>
            </w:pPr>
            <w:r w:rsidRPr="00EE7081">
              <w:rPr>
                <w:sz w:val="20"/>
                <w:szCs w:val="20"/>
              </w:rPr>
              <w:t>0-2 points</w:t>
            </w:r>
          </w:p>
        </w:tc>
      </w:tr>
      <w:tr w:rsidR="00EA6AFA" w:rsidRPr="00EE7081" w14:paraId="47E08226" w14:textId="77777777" w:rsidTr="00DE5333">
        <w:trPr>
          <w:cantSplit/>
          <w:trHeight w:val="440"/>
        </w:trPr>
        <w:tc>
          <w:tcPr>
            <w:tcW w:w="7056" w:type="dxa"/>
            <w:vAlign w:val="center"/>
          </w:tcPr>
          <w:p w14:paraId="4897BDC4" w14:textId="461E56D1" w:rsidR="00EA6AFA" w:rsidRPr="00EE7081" w:rsidRDefault="00EA6AFA" w:rsidP="00EA6AFA">
            <w:pPr>
              <w:keepLines/>
              <w:autoSpaceDE w:val="0"/>
              <w:autoSpaceDN w:val="0"/>
              <w:spacing w:line="297" w:lineRule="exact"/>
              <w:ind w:left="107"/>
              <w:rPr>
                <w:sz w:val="20"/>
                <w:szCs w:val="20"/>
              </w:rPr>
            </w:pPr>
            <w:r w:rsidRPr="00EE7081">
              <w:rPr>
                <w:w w:val="110"/>
                <w:sz w:val="20"/>
                <w:szCs w:val="20"/>
              </w:rPr>
              <w:t>Brief, generic summary description of how funds will be used</w:t>
            </w:r>
            <w:r>
              <w:rPr>
                <w:w w:val="110"/>
                <w:sz w:val="20"/>
                <w:szCs w:val="20"/>
              </w:rPr>
              <w:t>. Describes</w:t>
            </w:r>
            <w:r w:rsidRPr="00EE7081">
              <w:rPr>
                <w:w w:val="110"/>
                <w:sz w:val="20"/>
                <w:szCs w:val="20"/>
              </w:rPr>
              <w:t xml:space="preserve"> </w:t>
            </w:r>
            <w:r>
              <w:rPr>
                <w:w w:val="110"/>
                <w:sz w:val="20"/>
                <w:szCs w:val="20"/>
              </w:rPr>
              <w:t>some anticipated costs,</w:t>
            </w:r>
            <w:r w:rsidRPr="00EE7081">
              <w:rPr>
                <w:w w:val="110"/>
                <w:sz w:val="20"/>
                <w:szCs w:val="20"/>
              </w:rPr>
              <w:t xml:space="preserve"> but is limited in </w:t>
            </w:r>
            <w:r>
              <w:rPr>
                <w:w w:val="110"/>
                <w:sz w:val="20"/>
                <w:szCs w:val="20"/>
              </w:rPr>
              <w:t>providing a breakdown and description of specific costs and categories. Poor description of how costs were determined.</w:t>
            </w:r>
          </w:p>
        </w:tc>
        <w:tc>
          <w:tcPr>
            <w:tcW w:w="2294" w:type="dxa"/>
            <w:vAlign w:val="center"/>
          </w:tcPr>
          <w:p w14:paraId="0057EB0A" w14:textId="77777777" w:rsidR="00EA6AFA" w:rsidRPr="00EE7081" w:rsidRDefault="00EA6AFA" w:rsidP="00EA6AFA">
            <w:pPr>
              <w:keepLines/>
              <w:autoSpaceDE w:val="0"/>
              <w:autoSpaceDN w:val="0"/>
              <w:spacing w:line="297" w:lineRule="exact"/>
              <w:ind w:left="107"/>
              <w:jc w:val="center"/>
              <w:rPr>
                <w:sz w:val="20"/>
                <w:szCs w:val="20"/>
              </w:rPr>
            </w:pPr>
            <w:r w:rsidRPr="00EE7081">
              <w:rPr>
                <w:sz w:val="20"/>
                <w:szCs w:val="20"/>
              </w:rPr>
              <w:t>3-6 points</w:t>
            </w:r>
          </w:p>
        </w:tc>
      </w:tr>
      <w:tr w:rsidR="00856BD8" w:rsidRPr="00EE7081" w14:paraId="30732221" w14:textId="77777777" w:rsidTr="00DE5333">
        <w:trPr>
          <w:cantSplit/>
        </w:trPr>
        <w:tc>
          <w:tcPr>
            <w:tcW w:w="7056" w:type="dxa"/>
            <w:vAlign w:val="center"/>
          </w:tcPr>
          <w:p w14:paraId="0AEDC965" w14:textId="36A0D521" w:rsidR="00856BD8" w:rsidRPr="00EE7081" w:rsidRDefault="00856BD8" w:rsidP="00856BD8">
            <w:pPr>
              <w:keepLines/>
              <w:tabs>
                <w:tab w:val="left" w:pos="408"/>
              </w:tabs>
              <w:autoSpaceDE w:val="0"/>
              <w:autoSpaceDN w:val="0"/>
              <w:spacing w:line="293" w:lineRule="exact"/>
              <w:ind w:left="107"/>
              <w:rPr>
                <w:sz w:val="20"/>
                <w:szCs w:val="20"/>
              </w:rPr>
            </w:pPr>
            <w:r w:rsidRPr="00EE7081">
              <w:rPr>
                <w:w w:val="110"/>
                <w:sz w:val="20"/>
                <w:szCs w:val="20"/>
              </w:rPr>
              <w:t>Detailed summary description of how funds will be used to provide adult education services</w:t>
            </w:r>
            <w:r>
              <w:rPr>
                <w:w w:val="110"/>
                <w:sz w:val="20"/>
                <w:szCs w:val="20"/>
              </w:rPr>
              <w:t xml:space="preserve"> throughout the service area. Indicates the potential-to-serve population and specific communities and locations for services. Provides breakdown and description of anticipated costs for the various categories and describes how costs were determined. </w:t>
            </w:r>
          </w:p>
        </w:tc>
        <w:tc>
          <w:tcPr>
            <w:tcW w:w="2294" w:type="dxa"/>
            <w:vAlign w:val="center"/>
          </w:tcPr>
          <w:p w14:paraId="5F53E488" w14:textId="77777777" w:rsidR="00856BD8" w:rsidRPr="00EE7081" w:rsidRDefault="00856BD8" w:rsidP="00856BD8">
            <w:pPr>
              <w:keepLines/>
              <w:tabs>
                <w:tab w:val="left" w:pos="408"/>
              </w:tabs>
              <w:autoSpaceDE w:val="0"/>
              <w:autoSpaceDN w:val="0"/>
              <w:spacing w:line="293" w:lineRule="exact"/>
              <w:ind w:left="107"/>
              <w:jc w:val="center"/>
              <w:rPr>
                <w:sz w:val="20"/>
                <w:szCs w:val="20"/>
              </w:rPr>
            </w:pPr>
            <w:r w:rsidRPr="00EE7081">
              <w:rPr>
                <w:sz w:val="20"/>
                <w:szCs w:val="20"/>
              </w:rPr>
              <w:t>7-10 points</w:t>
            </w:r>
          </w:p>
        </w:tc>
      </w:tr>
      <w:tr w:rsidR="00856BD8" w:rsidRPr="00EE7081" w14:paraId="7061B2ED" w14:textId="77777777" w:rsidTr="00DE5333">
        <w:trPr>
          <w:cantSplit/>
          <w:trHeight w:val="458"/>
        </w:trPr>
        <w:tc>
          <w:tcPr>
            <w:tcW w:w="7056" w:type="dxa"/>
            <w:vAlign w:val="center"/>
          </w:tcPr>
          <w:p w14:paraId="4BF114F8" w14:textId="77777777" w:rsidR="00856BD8" w:rsidRPr="00EE7081" w:rsidRDefault="00856BD8" w:rsidP="00856BD8">
            <w:pPr>
              <w:keepLines/>
              <w:tabs>
                <w:tab w:val="left" w:pos="408"/>
              </w:tabs>
              <w:autoSpaceDE w:val="0"/>
              <w:autoSpaceDN w:val="0"/>
              <w:spacing w:line="293" w:lineRule="exact"/>
              <w:ind w:left="107"/>
              <w:jc w:val="right"/>
              <w:rPr>
                <w:b/>
                <w:bCs/>
                <w:w w:val="110"/>
                <w:sz w:val="20"/>
                <w:szCs w:val="20"/>
              </w:rPr>
            </w:pPr>
            <w:r w:rsidRPr="00EE7081">
              <w:rPr>
                <w:b/>
                <w:bCs/>
                <w:w w:val="110"/>
                <w:sz w:val="20"/>
                <w:szCs w:val="20"/>
              </w:rPr>
              <w:t>Score</w:t>
            </w:r>
          </w:p>
        </w:tc>
        <w:tc>
          <w:tcPr>
            <w:tcW w:w="2294" w:type="dxa"/>
            <w:vAlign w:val="center"/>
          </w:tcPr>
          <w:p w14:paraId="7ABE44C8" w14:textId="77777777" w:rsidR="00856BD8" w:rsidRPr="00EE7081" w:rsidRDefault="00856BD8" w:rsidP="00856BD8">
            <w:pPr>
              <w:keepLines/>
              <w:tabs>
                <w:tab w:val="left" w:pos="408"/>
              </w:tabs>
              <w:autoSpaceDE w:val="0"/>
              <w:autoSpaceDN w:val="0"/>
              <w:spacing w:line="293" w:lineRule="exact"/>
              <w:ind w:left="107"/>
              <w:jc w:val="center"/>
              <w:rPr>
                <w:b/>
                <w:bCs/>
                <w:sz w:val="20"/>
                <w:szCs w:val="20"/>
              </w:rPr>
            </w:pPr>
            <w:r w:rsidRPr="00EE7081">
              <w:rPr>
                <w:b/>
                <w:bCs/>
                <w:sz w:val="20"/>
                <w:szCs w:val="20"/>
              </w:rPr>
              <w:t>/10 points</w:t>
            </w:r>
          </w:p>
        </w:tc>
      </w:tr>
      <w:tr w:rsidR="00856BD8" w:rsidRPr="00EE7081" w14:paraId="2B9DBC45" w14:textId="77777777" w:rsidTr="00DE5333">
        <w:trPr>
          <w:cantSplit/>
        </w:trPr>
        <w:tc>
          <w:tcPr>
            <w:tcW w:w="9350" w:type="dxa"/>
            <w:gridSpan w:val="2"/>
          </w:tcPr>
          <w:p w14:paraId="6F1A1B1E" w14:textId="77777777" w:rsidR="00856BD8" w:rsidRPr="00EE7081" w:rsidRDefault="00856BD8" w:rsidP="00856BD8">
            <w:pPr>
              <w:keepLines/>
              <w:tabs>
                <w:tab w:val="left" w:pos="408"/>
              </w:tabs>
              <w:autoSpaceDE w:val="0"/>
              <w:autoSpaceDN w:val="0"/>
              <w:spacing w:line="293" w:lineRule="exact"/>
              <w:ind w:left="107"/>
              <w:rPr>
                <w:w w:val="110"/>
                <w:sz w:val="20"/>
                <w:szCs w:val="20"/>
              </w:rPr>
            </w:pPr>
            <w:r w:rsidRPr="00EE7081">
              <w:rPr>
                <w:b/>
                <w:bCs/>
                <w:w w:val="110"/>
                <w:sz w:val="20"/>
                <w:szCs w:val="20"/>
              </w:rPr>
              <w:t>Comments:</w:t>
            </w:r>
            <w:r w:rsidRPr="00EE7081">
              <w:rPr>
                <w:w w:val="110"/>
                <w:sz w:val="20"/>
                <w:szCs w:val="20"/>
              </w:rPr>
              <w:t xml:space="preserve"> </w:t>
            </w:r>
          </w:p>
          <w:p w14:paraId="578F32D3" w14:textId="77777777" w:rsidR="00856BD8" w:rsidRPr="00EE7081" w:rsidRDefault="00856BD8" w:rsidP="00856BD8">
            <w:pPr>
              <w:keepLines/>
              <w:tabs>
                <w:tab w:val="left" w:pos="408"/>
              </w:tabs>
              <w:autoSpaceDE w:val="0"/>
              <w:autoSpaceDN w:val="0"/>
              <w:spacing w:line="293" w:lineRule="exact"/>
              <w:ind w:left="107"/>
              <w:jc w:val="center"/>
              <w:rPr>
                <w:sz w:val="20"/>
                <w:szCs w:val="20"/>
              </w:rPr>
            </w:pPr>
          </w:p>
        </w:tc>
      </w:tr>
    </w:tbl>
    <w:p w14:paraId="5D4C60F5" w14:textId="3C6439AD" w:rsidR="00804B54" w:rsidRDefault="00804B54" w:rsidP="00EA0734">
      <w:pPr>
        <w:keepLines/>
        <w:autoSpaceDE w:val="0"/>
        <w:autoSpaceDN w:val="0"/>
        <w:rPr>
          <w:rFonts w:eastAsiaTheme="minorHAnsi"/>
          <w:b/>
          <w:bCs/>
          <w:sz w:val="20"/>
          <w:szCs w:val="20"/>
        </w:rPr>
      </w:pPr>
    </w:p>
    <w:p w14:paraId="6C05844D" w14:textId="77777777" w:rsidR="00804B54" w:rsidRDefault="00804B54">
      <w:pPr>
        <w:rPr>
          <w:rFonts w:eastAsiaTheme="minorHAnsi"/>
          <w:b/>
          <w:bCs/>
          <w:sz w:val="20"/>
          <w:szCs w:val="20"/>
        </w:rPr>
      </w:pPr>
      <w:r>
        <w:rPr>
          <w:rFonts w:eastAsiaTheme="minorHAnsi"/>
          <w:b/>
          <w:bCs/>
          <w:sz w:val="20"/>
          <w:szCs w:val="20"/>
        </w:rPr>
        <w:br w:type="page"/>
      </w:r>
    </w:p>
    <w:tbl>
      <w:tblPr>
        <w:tblStyle w:val="TableGrid1"/>
        <w:tblW w:w="0" w:type="auto"/>
        <w:tblCellMar>
          <w:top w:w="115" w:type="dxa"/>
          <w:left w:w="115" w:type="dxa"/>
          <w:bottom w:w="115" w:type="dxa"/>
          <w:right w:w="115" w:type="dxa"/>
        </w:tblCellMar>
        <w:tblLook w:val="04A0" w:firstRow="1" w:lastRow="0" w:firstColumn="1" w:lastColumn="0" w:noHBand="0" w:noVBand="1"/>
      </w:tblPr>
      <w:tblGrid>
        <w:gridCol w:w="7047"/>
        <w:gridCol w:w="2303"/>
      </w:tblGrid>
      <w:tr w:rsidR="00804B54" w:rsidRPr="00EE7081" w14:paraId="023D4CB8" w14:textId="77777777" w:rsidTr="00CF02AA">
        <w:trPr>
          <w:cantSplit/>
          <w:trHeight w:val="377"/>
        </w:trPr>
        <w:tc>
          <w:tcPr>
            <w:tcW w:w="9350" w:type="dxa"/>
            <w:gridSpan w:val="2"/>
            <w:shd w:val="clear" w:color="auto" w:fill="17365D" w:themeFill="text2" w:themeFillShade="BF"/>
            <w:vAlign w:val="center"/>
          </w:tcPr>
          <w:p w14:paraId="2B3A9A47" w14:textId="6FE7FCC5" w:rsidR="00804B54" w:rsidRPr="00EE7081" w:rsidRDefault="00804B54" w:rsidP="00F132FF">
            <w:pPr>
              <w:keepLines/>
              <w:autoSpaceDE w:val="0"/>
              <w:autoSpaceDN w:val="0"/>
              <w:spacing w:line="299" w:lineRule="exact"/>
              <w:ind w:left="101"/>
              <w:jc w:val="center"/>
              <w:rPr>
                <w:b/>
                <w:bCs/>
              </w:rPr>
            </w:pPr>
            <w:r w:rsidRPr="00EE7081">
              <w:rPr>
                <w:b/>
                <w:bCs/>
              </w:rPr>
              <w:lastRenderedPageBreak/>
              <w:t xml:space="preserve">PART </w:t>
            </w:r>
            <w:r>
              <w:rPr>
                <w:b/>
                <w:bCs/>
              </w:rPr>
              <w:t xml:space="preserve">2: </w:t>
            </w:r>
            <w:r w:rsidRPr="00EE7081">
              <w:rPr>
                <w:b/>
                <w:bCs/>
              </w:rPr>
              <w:t xml:space="preserve"> </w:t>
            </w:r>
            <w:r>
              <w:rPr>
                <w:b/>
                <w:bCs/>
              </w:rPr>
              <w:t xml:space="preserve">COMMUNITY NEED FOR </w:t>
            </w:r>
            <w:r w:rsidR="00F94747">
              <w:rPr>
                <w:b/>
                <w:bCs/>
              </w:rPr>
              <w:t>ADULT</w:t>
            </w:r>
            <w:r>
              <w:rPr>
                <w:b/>
                <w:bCs/>
              </w:rPr>
              <w:t xml:space="preserve"> EDUCATION </w:t>
            </w:r>
            <w:r w:rsidRPr="00EE7081">
              <w:rPr>
                <w:b/>
                <w:bCs/>
              </w:rPr>
              <w:t>– 10 points possible</w:t>
            </w:r>
          </w:p>
        </w:tc>
      </w:tr>
      <w:tr w:rsidR="00804B54" w:rsidRPr="00EE7081" w14:paraId="0BD2885C" w14:textId="77777777" w:rsidTr="00CF02AA">
        <w:trPr>
          <w:cantSplit/>
          <w:trHeight w:val="377"/>
        </w:trPr>
        <w:tc>
          <w:tcPr>
            <w:tcW w:w="9350" w:type="dxa"/>
            <w:gridSpan w:val="2"/>
            <w:shd w:val="clear" w:color="auto" w:fill="DBE5F1" w:themeFill="accent1" w:themeFillTint="33"/>
            <w:vAlign w:val="center"/>
          </w:tcPr>
          <w:p w14:paraId="04B4E7CB" w14:textId="77777777" w:rsidR="00804B54" w:rsidRPr="00EE7081" w:rsidRDefault="00804B54" w:rsidP="00F132FF">
            <w:pPr>
              <w:keepLines/>
              <w:autoSpaceDE w:val="0"/>
              <w:autoSpaceDN w:val="0"/>
              <w:spacing w:line="254" w:lineRule="auto"/>
              <w:ind w:left="120" w:right="810" w:hanging="8"/>
              <w:rPr>
                <w:bCs/>
                <w:sz w:val="20"/>
                <w:szCs w:val="20"/>
              </w:rPr>
            </w:pPr>
            <w:r w:rsidRPr="00EE7081">
              <w:rPr>
                <w:bCs/>
                <w:sz w:val="20"/>
                <w:szCs w:val="20"/>
              </w:rPr>
              <w:t xml:space="preserve">Describe how the eligible provider will serve individuals in the community who were identified in the local workforce development plan as most in need of adult education and literacy activities, including individuals— </w:t>
            </w:r>
          </w:p>
          <w:p w14:paraId="2B2D0C06" w14:textId="77777777" w:rsidR="00804B54" w:rsidRPr="00EE7081" w:rsidRDefault="00804B54" w:rsidP="00F132FF">
            <w:pPr>
              <w:keepLines/>
              <w:autoSpaceDE w:val="0"/>
              <w:autoSpaceDN w:val="0"/>
              <w:spacing w:line="254" w:lineRule="auto"/>
              <w:ind w:left="510" w:right="810" w:hanging="8"/>
              <w:rPr>
                <w:bCs/>
                <w:sz w:val="20"/>
                <w:szCs w:val="20"/>
              </w:rPr>
            </w:pPr>
            <w:r w:rsidRPr="00EE7081">
              <w:rPr>
                <w:bCs/>
                <w:sz w:val="20"/>
                <w:szCs w:val="20"/>
              </w:rPr>
              <w:t>(</w:t>
            </w:r>
            <w:proofErr w:type="spellStart"/>
            <w:r w:rsidRPr="00EE7081">
              <w:rPr>
                <w:bCs/>
                <w:sz w:val="20"/>
                <w:szCs w:val="20"/>
              </w:rPr>
              <w:t>i</w:t>
            </w:r>
            <w:proofErr w:type="spellEnd"/>
            <w:r w:rsidRPr="00EE7081">
              <w:rPr>
                <w:bCs/>
                <w:sz w:val="20"/>
                <w:szCs w:val="20"/>
              </w:rPr>
              <w:t xml:space="preserve">) who have low levels of literacy skills; or </w:t>
            </w:r>
          </w:p>
          <w:p w14:paraId="7A331244" w14:textId="77777777" w:rsidR="00804B54" w:rsidRPr="00EE7081" w:rsidRDefault="00804B54" w:rsidP="00F132FF">
            <w:pPr>
              <w:keepLines/>
              <w:autoSpaceDE w:val="0"/>
              <w:autoSpaceDN w:val="0"/>
              <w:spacing w:line="254" w:lineRule="auto"/>
              <w:ind w:left="510" w:right="810" w:hanging="8"/>
              <w:rPr>
                <w:bCs/>
                <w:sz w:val="20"/>
                <w:szCs w:val="20"/>
              </w:rPr>
            </w:pPr>
            <w:r w:rsidRPr="00EE7081">
              <w:rPr>
                <w:bCs/>
                <w:sz w:val="20"/>
                <w:szCs w:val="20"/>
              </w:rPr>
              <w:t>(ii) who are English language learners. (See Consideration 1(B).)</w:t>
            </w:r>
          </w:p>
          <w:p w14:paraId="1450B254" w14:textId="77777777" w:rsidR="00804B54" w:rsidRPr="00EE7081" w:rsidRDefault="00804B54" w:rsidP="00F132FF">
            <w:pPr>
              <w:keepLines/>
              <w:autoSpaceDE w:val="0"/>
              <w:autoSpaceDN w:val="0"/>
              <w:spacing w:line="254" w:lineRule="auto"/>
              <w:ind w:left="510" w:right="810" w:hanging="8"/>
              <w:rPr>
                <w:bCs/>
                <w:sz w:val="20"/>
                <w:szCs w:val="20"/>
              </w:rPr>
            </w:pPr>
          </w:p>
          <w:p w14:paraId="76D606DF" w14:textId="77777777" w:rsidR="00804B54" w:rsidRPr="00EE7081" w:rsidRDefault="00804B54" w:rsidP="00F132FF">
            <w:pPr>
              <w:keepLines/>
              <w:autoSpaceDE w:val="0"/>
              <w:autoSpaceDN w:val="0"/>
              <w:spacing w:line="299" w:lineRule="exact"/>
              <w:ind w:left="101"/>
              <w:rPr>
                <w:sz w:val="20"/>
                <w:szCs w:val="20"/>
              </w:rPr>
            </w:pPr>
            <w:r w:rsidRPr="00EE7081">
              <w:rPr>
                <w:bCs/>
                <w:sz w:val="20"/>
                <w:szCs w:val="20"/>
              </w:rPr>
              <w:t>Also address whether the local areas in which the eligible provider is located have a demonstrated need for additional English language acquisition programs and civics education programs. (See Consideration 13.)</w:t>
            </w:r>
          </w:p>
        </w:tc>
      </w:tr>
      <w:tr w:rsidR="003E2F6E" w:rsidRPr="00EE7081" w14:paraId="6BCC87D5" w14:textId="77777777" w:rsidTr="00CF02AA">
        <w:trPr>
          <w:cantSplit/>
          <w:trHeight w:val="377"/>
        </w:trPr>
        <w:tc>
          <w:tcPr>
            <w:tcW w:w="7047" w:type="dxa"/>
          </w:tcPr>
          <w:p w14:paraId="26C5E1E7" w14:textId="355398E2" w:rsidR="003E2F6E" w:rsidRPr="00EE7081" w:rsidRDefault="003E2F6E" w:rsidP="003E2F6E">
            <w:pPr>
              <w:keepLines/>
              <w:autoSpaceDE w:val="0"/>
              <w:autoSpaceDN w:val="0"/>
              <w:spacing w:line="299" w:lineRule="exact"/>
              <w:ind w:left="107"/>
              <w:rPr>
                <w:sz w:val="20"/>
                <w:szCs w:val="20"/>
              </w:rPr>
            </w:pPr>
            <w:r>
              <w:rPr>
                <w:sz w:val="20"/>
                <w:szCs w:val="20"/>
              </w:rPr>
              <w:t>No</w:t>
            </w:r>
            <w:r w:rsidRPr="00EE7081">
              <w:rPr>
                <w:sz w:val="20"/>
                <w:szCs w:val="20"/>
              </w:rPr>
              <w:t xml:space="preserve"> or poor description of the</w:t>
            </w:r>
            <w:r>
              <w:rPr>
                <w:sz w:val="20"/>
                <w:szCs w:val="20"/>
              </w:rPr>
              <w:t xml:space="preserve"> adult</w:t>
            </w:r>
            <w:r w:rsidRPr="00EE7081">
              <w:rPr>
                <w:sz w:val="20"/>
                <w:szCs w:val="20"/>
              </w:rPr>
              <w:t xml:space="preserve"> education needs of the local </w:t>
            </w:r>
            <w:r>
              <w:rPr>
                <w:sz w:val="20"/>
                <w:szCs w:val="20"/>
              </w:rPr>
              <w:t>community and how the agency plans to serve them</w:t>
            </w:r>
            <w:r w:rsidRPr="00EE7081">
              <w:rPr>
                <w:sz w:val="20"/>
                <w:szCs w:val="20"/>
              </w:rPr>
              <w:t>.</w:t>
            </w:r>
          </w:p>
        </w:tc>
        <w:tc>
          <w:tcPr>
            <w:tcW w:w="2303" w:type="dxa"/>
            <w:vAlign w:val="center"/>
          </w:tcPr>
          <w:p w14:paraId="10782267" w14:textId="77777777" w:rsidR="003E2F6E" w:rsidRPr="00EE7081" w:rsidRDefault="003E2F6E" w:rsidP="003E2F6E">
            <w:pPr>
              <w:keepLines/>
              <w:autoSpaceDE w:val="0"/>
              <w:autoSpaceDN w:val="0"/>
              <w:spacing w:line="299" w:lineRule="exact"/>
              <w:ind w:left="107"/>
              <w:jc w:val="center"/>
              <w:rPr>
                <w:sz w:val="20"/>
                <w:szCs w:val="20"/>
              </w:rPr>
            </w:pPr>
            <w:r w:rsidRPr="00EE7081">
              <w:rPr>
                <w:sz w:val="20"/>
                <w:szCs w:val="20"/>
              </w:rPr>
              <w:t>0-2 points</w:t>
            </w:r>
          </w:p>
        </w:tc>
      </w:tr>
      <w:tr w:rsidR="00A0547A" w:rsidRPr="00EE7081" w14:paraId="410351AD" w14:textId="77777777" w:rsidTr="00CF02AA">
        <w:trPr>
          <w:cantSplit/>
          <w:trHeight w:val="440"/>
        </w:trPr>
        <w:tc>
          <w:tcPr>
            <w:tcW w:w="7047" w:type="dxa"/>
          </w:tcPr>
          <w:p w14:paraId="2083DBFC" w14:textId="2186E4E6" w:rsidR="00A0547A" w:rsidRPr="00EE7081" w:rsidRDefault="00A0547A" w:rsidP="00A0547A">
            <w:pPr>
              <w:keepLines/>
              <w:autoSpaceDE w:val="0"/>
              <w:autoSpaceDN w:val="0"/>
              <w:spacing w:line="297" w:lineRule="exact"/>
              <w:ind w:left="107"/>
              <w:rPr>
                <w:sz w:val="20"/>
                <w:szCs w:val="20"/>
              </w:rPr>
            </w:pPr>
            <w:r w:rsidRPr="00EE7081">
              <w:rPr>
                <w:sz w:val="20"/>
                <w:szCs w:val="20"/>
              </w:rPr>
              <w:t xml:space="preserve">Brief or generic description of the </w:t>
            </w:r>
            <w:r>
              <w:rPr>
                <w:sz w:val="20"/>
                <w:szCs w:val="20"/>
              </w:rPr>
              <w:t xml:space="preserve">adult </w:t>
            </w:r>
            <w:r w:rsidRPr="00EE7081">
              <w:rPr>
                <w:sz w:val="20"/>
                <w:szCs w:val="20"/>
              </w:rPr>
              <w:t xml:space="preserve">education needs of the local </w:t>
            </w:r>
            <w:r>
              <w:rPr>
                <w:sz w:val="20"/>
                <w:szCs w:val="20"/>
              </w:rPr>
              <w:t>community and how the agency plans to serve them</w:t>
            </w:r>
            <w:r w:rsidRPr="00EE7081">
              <w:rPr>
                <w:sz w:val="20"/>
                <w:szCs w:val="20"/>
              </w:rPr>
              <w:t>. Provides limited data or evidence.</w:t>
            </w:r>
            <w:r>
              <w:rPr>
                <w:sz w:val="20"/>
                <w:szCs w:val="20"/>
              </w:rPr>
              <w:t xml:space="preserve"> No or limited description of staff who specialize in literacy and/or ESL instruction. Generically describes classes or activities the agency plans to provide to individuals.</w:t>
            </w:r>
          </w:p>
        </w:tc>
        <w:tc>
          <w:tcPr>
            <w:tcW w:w="2303" w:type="dxa"/>
            <w:vAlign w:val="center"/>
          </w:tcPr>
          <w:p w14:paraId="7D9B11B5" w14:textId="77777777" w:rsidR="00A0547A" w:rsidRPr="00EE7081" w:rsidRDefault="00A0547A" w:rsidP="00A0547A">
            <w:pPr>
              <w:keepLines/>
              <w:autoSpaceDE w:val="0"/>
              <w:autoSpaceDN w:val="0"/>
              <w:spacing w:line="297" w:lineRule="exact"/>
              <w:ind w:left="107"/>
              <w:jc w:val="center"/>
              <w:rPr>
                <w:sz w:val="20"/>
                <w:szCs w:val="20"/>
              </w:rPr>
            </w:pPr>
            <w:r w:rsidRPr="00EE7081">
              <w:rPr>
                <w:sz w:val="20"/>
                <w:szCs w:val="20"/>
              </w:rPr>
              <w:t>3-6 points</w:t>
            </w:r>
          </w:p>
        </w:tc>
      </w:tr>
      <w:tr w:rsidR="004C705B" w:rsidRPr="00EE7081" w14:paraId="45A0B4F1" w14:textId="77777777" w:rsidTr="00CF02AA">
        <w:trPr>
          <w:cantSplit/>
        </w:trPr>
        <w:tc>
          <w:tcPr>
            <w:tcW w:w="7047" w:type="dxa"/>
          </w:tcPr>
          <w:p w14:paraId="37613CAE" w14:textId="5580D436" w:rsidR="004C705B" w:rsidRPr="00EE7081" w:rsidRDefault="004C705B" w:rsidP="004C705B">
            <w:pPr>
              <w:keepLines/>
              <w:tabs>
                <w:tab w:val="left" w:pos="408"/>
              </w:tabs>
              <w:autoSpaceDE w:val="0"/>
              <w:autoSpaceDN w:val="0"/>
              <w:spacing w:line="293" w:lineRule="exact"/>
              <w:ind w:left="107"/>
              <w:rPr>
                <w:sz w:val="20"/>
                <w:szCs w:val="20"/>
              </w:rPr>
            </w:pPr>
            <w:r w:rsidRPr="00EE7081">
              <w:rPr>
                <w:sz w:val="20"/>
                <w:szCs w:val="20"/>
              </w:rPr>
              <w:t xml:space="preserve">Detailed description of the </w:t>
            </w:r>
            <w:r>
              <w:rPr>
                <w:sz w:val="20"/>
                <w:szCs w:val="20"/>
              </w:rPr>
              <w:t xml:space="preserve">adult </w:t>
            </w:r>
            <w:r w:rsidRPr="00EE7081">
              <w:rPr>
                <w:sz w:val="20"/>
                <w:szCs w:val="20"/>
              </w:rPr>
              <w:t xml:space="preserve">education needs of the local </w:t>
            </w:r>
            <w:r>
              <w:rPr>
                <w:sz w:val="20"/>
                <w:szCs w:val="20"/>
              </w:rPr>
              <w:t>community and how the agency plans to serve them</w:t>
            </w:r>
            <w:r w:rsidRPr="00EE7081">
              <w:rPr>
                <w:sz w:val="20"/>
                <w:szCs w:val="20"/>
              </w:rPr>
              <w:t xml:space="preserve">. Provides data and other supporting evidence. </w:t>
            </w:r>
            <w:r>
              <w:rPr>
                <w:sz w:val="20"/>
                <w:szCs w:val="20"/>
              </w:rPr>
              <w:t>Addresses if there is a</w:t>
            </w:r>
            <w:r w:rsidRPr="00EE7081">
              <w:rPr>
                <w:sz w:val="20"/>
                <w:szCs w:val="20"/>
              </w:rPr>
              <w:t xml:space="preserve"> need for additional English language acquisition and civics programs (e.g., by describing how the current level of services provided in the area are insufficient). </w:t>
            </w:r>
            <w:r>
              <w:rPr>
                <w:sz w:val="20"/>
                <w:szCs w:val="20"/>
              </w:rPr>
              <w:t>Describes how the</w:t>
            </w:r>
            <w:r w:rsidRPr="00EE7081">
              <w:rPr>
                <w:sz w:val="20"/>
                <w:szCs w:val="20"/>
              </w:rPr>
              <w:t xml:space="preserve"> </w:t>
            </w:r>
            <w:r>
              <w:rPr>
                <w:sz w:val="20"/>
                <w:szCs w:val="20"/>
              </w:rPr>
              <w:t>agency</w:t>
            </w:r>
            <w:r w:rsidRPr="00EE7081">
              <w:rPr>
                <w:sz w:val="20"/>
                <w:szCs w:val="20"/>
              </w:rPr>
              <w:t xml:space="preserve"> already has </w:t>
            </w:r>
            <w:r>
              <w:rPr>
                <w:sz w:val="20"/>
                <w:szCs w:val="20"/>
              </w:rPr>
              <w:t>literacy and/or ESL specialists on staff, or how the agency plans to hire or train and develop staff in literacy and ESL instruction. Describes the classes and activities the agency plans to provide specifically to individuals most in need of services.</w:t>
            </w:r>
          </w:p>
        </w:tc>
        <w:tc>
          <w:tcPr>
            <w:tcW w:w="2303" w:type="dxa"/>
            <w:vAlign w:val="center"/>
          </w:tcPr>
          <w:p w14:paraId="2861A918" w14:textId="77777777" w:rsidR="004C705B" w:rsidRPr="00EE7081" w:rsidRDefault="004C705B" w:rsidP="004C705B">
            <w:pPr>
              <w:keepLines/>
              <w:tabs>
                <w:tab w:val="left" w:pos="408"/>
              </w:tabs>
              <w:autoSpaceDE w:val="0"/>
              <w:autoSpaceDN w:val="0"/>
              <w:spacing w:line="293" w:lineRule="exact"/>
              <w:ind w:left="107"/>
              <w:jc w:val="center"/>
              <w:rPr>
                <w:sz w:val="20"/>
                <w:szCs w:val="20"/>
              </w:rPr>
            </w:pPr>
            <w:r w:rsidRPr="00EE7081">
              <w:rPr>
                <w:sz w:val="20"/>
                <w:szCs w:val="20"/>
              </w:rPr>
              <w:t>7-10 points</w:t>
            </w:r>
          </w:p>
        </w:tc>
      </w:tr>
      <w:tr w:rsidR="00804B54" w:rsidRPr="00EE7081" w14:paraId="45DD6BB7" w14:textId="77777777" w:rsidTr="00CF02AA">
        <w:trPr>
          <w:cantSplit/>
          <w:trHeight w:val="458"/>
        </w:trPr>
        <w:tc>
          <w:tcPr>
            <w:tcW w:w="7047" w:type="dxa"/>
            <w:vAlign w:val="center"/>
          </w:tcPr>
          <w:p w14:paraId="414A565F" w14:textId="77777777" w:rsidR="00804B54" w:rsidRPr="00EE7081" w:rsidRDefault="00804B54" w:rsidP="00F132FF">
            <w:pPr>
              <w:keepLines/>
              <w:tabs>
                <w:tab w:val="left" w:pos="408"/>
              </w:tabs>
              <w:autoSpaceDE w:val="0"/>
              <w:autoSpaceDN w:val="0"/>
              <w:spacing w:line="293" w:lineRule="exact"/>
              <w:ind w:left="107"/>
              <w:jc w:val="right"/>
              <w:rPr>
                <w:b/>
                <w:bCs/>
                <w:w w:val="110"/>
                <w:sz w:val="20"/>
                <w:szCs w:val="20"/>
              </w:rPr>
            </w:pPr>
            <w:r w:rsidRPr="00EE7081">
              <w:rPr>
                <w:b/>
                <w:bCs/>
                <w:w w:val="110"/>
                <w:sz w:val="20"/>
                <w:szCs w:val="20"/>
              </w:rPr>
              <w:t>Score</w:t>
            </w:r>
          </w:p>
        </w:tc>
        <w:tc>
          <w:tcPr>
            <w:tcW w:w="2303" w:type="dxa"/>
            <w:vAlign w:val="center"/>
          </w:tcPr>
          <w:p w14:paraId="5BE045AA" w14:textId="77777777" w:rsidR="00804B54" w:rsidRPr="00EE7081" w:rsidRDefault="00804B54" w:rsidP="00F132FF">
            <w:pPr>
              <w:keepLines/>
              <w:tabs>
                <w:tab w:val="left" w:pos="408"/>
              </w:tabs>
              <w:autoSpaceDE w:val="0"/>
              <w:autoSpaceDN w:val="0"/>
              <w:spacing w:line="293" w:lineRule="exact"/>
              <w:ind w:left="107"/>
              <w:jc w:val="center"/>
              <w:rPr>
                <w:b/>
                <w:bCs/>
                <w:sz w:val="20"/>
                <w:szCs w:val="20"/>
              </w:rPr>
            </w:pPr>
            <w:r w:rsidRPr="00EE7081">
              <w:rPr>
                <w:b/>
                <w:bCs/>
                <w:sz w:val="20"/>
                <w:szCs w:val="20"/>
              </w:rPr>
              <w:t>/10 points</w:t>
            </w:r>
          </w:p>
        </w:tc>
      </w:tr>
      <w:tr w:rsidR="00804B54" w:rsidRPr="00EE7081" w14:paraId="79847DD9" w14:textId="77777777" w:rsidTr="00CF02AA">
        <w:trPr>
          <w:cantSplit/>
        </w:trPr>
        <w:tc>
          <w:tcPr>
            <w:tcW w:w="9350" w:type="dxa"/>
            <w:gridSpan w:val="2"/>
          </w:tcPr>
          <w:p w14:paraId="5A7A26F7" w14:textId="77777777" w:rsidR="00804B54" w:rsidRPr="00EE7081" w:rsidRDefault="00804B54" w:rsidP="00F132FF">
            <w:pPr>
              <w:keepLines/>
              <w:tabs>
                <w:tab w:val="left" w:pos="408"/>
              </w:tabs>
              <w:autoSpaceDE w:val="0"/>
              <w:autoSpaceDN w:val="0"/>
              <w:spacing w:line="293" w:lineRule="exact"/>
              <w:ind w:left="107"/>
              <w:rPr>
                <w:w w:val="110"/>
                <w:sz w:val="20"/>
                <w:szCs w:val="20"/>
              </w:rPr>
            </w:pPr>
            <w:r w:rsidRPr="00EE7081">
              <w:rPr>
                <w:b/>
                <w:bCs/>
                <w:w w:val="110"/>
                <w:sz w:val="20"/>
                <w:szCs w:val="20"/>
              </w:rPr>
              <w:t>Comments:</w:t>
            </w:r>
            <w:r w:rsidRPr="00EE7081">
              <w:rPr>
                <w:w w:val="110"/>
                <w:sz w:val="20"/>
                <w:szCs w:val="20"/>
              </w:rPr>
              <w:t xml:space="preserve"> </w:t>
            </w:r>
          </w:p>
          <w:p w14:paraId="1B35C99E" w14:textId="77777777" w:rsidR="00804B54" w:rsidRPr="00EE7081" w:rsidRDefault="00804B54" w:rsidP="00F132FF">
            <w:pPr>
              <w:keepLines/>
              <w:tabs>
                <w:tab w:val="left" w:pos="408"/>
              </w:tabs>
              <w:autoSpaceDE w:val="0"/>
              <w:autoSpaceDN w:val="0"/>
              <w:spacing w:line="293" w:lineRule="exact"/>
              <w:ind w:left="107"/>
              <w:jc w:val="center"/>
              <w:rPr>
                <w:sz w:val="20"/>
                <w:szCs w:val="20"/>
              </w:rPr>
            </w:pPr>
          </w:p>
        </w:tc>
      </w:tr>
    </w:tbl>
    <w:p w14:paraId="249D9410" w14:textId="3713E20A" w:rsidR="00804B54" w:rsidRDefault="00804B54" w:rsidP="00EA0734">
      <w:pPr>
        <w:keepLines/>
        <w:rPr>
          <w:rFonts w:eastAsiaTheme="minorHAnsi"/>
          <w:b/>
          <w:bCs/>
          <w:sz w:val="20"/>
          <w:szCs w:val="20"/>
        </w:rPr>
      </w:pPr>
    </w:p>
    <w:p w14:paraId="10D36CF5" w14:textId="77777777" w:rsidR="00804B54" w:rsidRDefault="00804B54">
      <w:pPr>
        <w:rPr>
          <w:rFonts w:eastAsiaTheme="minorHAnsi"/>
          <w:b/>
          <w:bCs/>
          <w:sz w:val="20"/>
          <w:szCs w:val="20"/>
        </w:rPr>
      </w:pPr>
      <w:r>
        <w:rPr>
          <w:rFonts w:eastAsiaTheme="minorHAnsi"/>
          <w:b/>
          <w:bCs/>
          <w:sz w:val="20"/>
          <w:szCs w:val="20"/>
        </w:rPr>
        <w:br w:type="page"/>
      </w:r>
    </w:p>
    <w:tbl>
      <w:tblPr>
        <w:tblStyle w:val="TableGrid1"/>
        <w:tblW w:w="0" w:type="auto"/>
        <w:tblCellMar>
          <w:top w:w="115" w:type="dxa"/>
          <w:left w:w="115" w:type="dxa"/>
          <w:bottom w:w="115" w:type="dxa"/>
          <w:right w:w="115" w:type="dxa"/>
        </w:tblCellMar>
        <w:tblLook w:val="04A0" w:firstRow="1" w:lastRow="0" w:firstColumn="1" w:lastColumn="0" w:noHBand="0" w:noVBand="1"/>
      </w:tblPr>
      <w:tblGrid>
        <w:gridCol w:w="7055"/>
        <w:gridCol w:w="2295"/>
      </w:tblGrid>
      <w:tr w:rsidR="00804B54" w:rsidRPr="00EE7081" w14:paraId="309D422B" w14:textId="77777777" w:rsidTr="00933E48">
        <w:trPr>
          <w:cantSplit/>
          <w:trHeight w:val="377"/>
        </w:trPr>
        <w:tc>
          <w:tcPr>
            <w:tcW w:w="9350" w:type="dxa"/>
            <w:gridSpan w:val="2"/>
            <w:shd w:val="clear" w:color="auto" w:fill="17365D" w:themeFill="text2" w:themeFillShade="BF"/>
            <w:vAlign w:val="center"/>
          </w:tcPr>
          <w:p w14:paraId="4C45E634" w14:textId="77777777" w:rsidR="00804B54" w:rsidRPr="00EE7081" w:rsidRDefault="00804B54" w:rsidP="00F132FF">
            <w:pPr>
              <w:keepLines/>
              <w:autoSpaceDE w:val="0"/>
              <w:autoSpaceDN w:val="0"/>
              <w:spacing w:line="299" w:lineRule="exact"/>
              <w:ind w:left="101"/>
              <w:jc w:val="center"/>
              <w:rPr>
                <w:b/>
                <w:bCs/>
              </w:rPr>
            </w:pPr>
            <w:r w:rsidRPr="00EE7081">
              <w:rPr>
                <w:b/>
                <w:bCs/>
              </w:rPr>
              <w:lastRenderedPageBreak/>
              <w:t xml:space="preserve">PART </w:t>
            </w:r>
            <w:r>
              <w:rPr>
                <w:b/>
                <w:bCs/>
              </w:rPr>
              <w:t>3: PERFORMANCE</w:t>
            </w:r>
            <w:r w:rsidRPr="00EE7081">
              <w:rPr>
                <w:b/>
                <w:bCs/>
              </w:rPr>
              <w:t xml:space="preserve"> – </w:t>
            </w:r>
            <w:r>
              <w:rPr>
                <w:b/>
                <w:bCs/>
              </w:rPr>
              <w:t>3</w:t>
            </w:r>
            <w:r w:rsidRPr="00EE7081">
              <w:rPr>
                <w:b/>
                <w:bCs/>
              </w:rPr>
              <w:t>0 points possible</w:t>
            </w:r>
          </w:p>
        </w:tc>
      </w:tr>
      <w:tr w:rsidR="00804B54" w:rsidRPr="00EE7081" w14:paraId="06795E63" w14:textId="77777777" w:rsidTr="00933E48">
        <w:trPr>
          <w:cantSplit/>
          <w:trHeight w:val="377"/>
        </w:trPr>
        <w:tc>
          <w:tcPr>
            <w:tcW w:w="9350" w:type="dxa"/>
            <w:gridSpan w:val="2"/>
            <w:shd w:val="clear" w:color="auto" w:fill="DBE5F1" w:themeFill="accent1" w:themeFillTint="33"/>
            <w:vAlign w:val="center"/>
          </w:tcPr>
          <w:p w14:paraId="1C0026F8" w14:textId="2877A6D4" w:rsidR="00804B54" w:rsidRPr="00EE7081" w:rsidRDefault="00804B54" w:rsidP="00F132FF">
            <w:pPr>
              <w:keepLines/>
              <w:autoSpaceDE w:val="0"/>
              <w:autoSpaceDN w:val="0"/>
              <w:spacing w:line="299" w:lineRule="exact"/>
              <w:ind w:left="101"/>
              <w:rPr>
                <w:sz w:val="20"/>
                <w:szCs w:val="20"/>
                <w:lang w:bidi="en-US"/>
              </w:rPr>
            </w:pPr>
            <w:r w:rsidRPr="00EE7081">
              <w:rPr>
                <w:sz w:val="20"/>
                <w:szCs w:val="20"/>
                <w:lang w:bidi="en-US"/>
              </w:rPr>
              <w:t>Describe how the eligible provider will meet the State-adjusted levels of performance for the primary indicators of performance identified in the State's Combined State Plan</w:t>
            </w:r>
            <w:r>
              <w:rPr>
                <w:sz w:val="20"/>
                <w:szCs w:val="20"/>
                <w:lang w:bidi="en-US"/>
              </w:rPr>
              <w:t xml:space="preserve"> (as </w:t>
            </w:r>
            <w:r w:rsidR="0001412B">
              <w:rPr>
                <w:sz w:val="20"/>
                <w:szCs w:val="20"/>
                <w:lang w:bidi="en-US"/>
              </w:rPr>
              <w:t>described in Section 3 – Performance Requirements),</w:t>
            </w:r>
            <w:r>
              <w:rPr>
                <w:sz w:val="20"/>
                <w:szCs w:val="20"/>
                <w:lang w:bidi="en-US"/>
              </w:rPr>
              <w:t xml:space="preserve"> </w:t>
            </w:r>
            <w:r w:rsidRPr="0069052B">
              <w:rPr>
                <w:sz w:val="20"/>
                <w:szCs w:val="20"/>
                <w:lang w:bidi="en-US"/>
              </w:rPr>
              <w:t xml:space="preserve">including how </w:t>
            </w:r>
            <w:r w:rsidR="00056048">
              <w:rPr>
                <w:sz w:val="20"/>
                <w:szCs w:val="20"/>
                <w:lang w:bidi="en-US"/>
              </w:rPr>
              <w:t>the</w:t>
            </w:r>
            <w:r w:rsidRPr="0069052B">
              <w:rPr>
                <w:sz w:val="20"/>
                <w:szCs w:val="20"/>
                <w:lang w:bidi="en-US"/>
              </w:rPr>
              <w:t xml:space="preserve"> provider will collect data to report on </w:t>
            </w:r>
            <w:r w:rsidR="000523A0">
              <w:rPr>
                <w:sz w:val="20"/>
                <w:szCs w:val="20"/>
                <w:lang w:bidi="en-US"/>
              </w:rPr>
              <w:t xml:space="preserve">the </w:t>
            </w:r>
            <w:r w:rsidRPr="0069052B">
              <w:rPr>
                <w:sz w:val="20"/>
                <w:szCs w:val="20"/>
                <w:lang w:bidi="en-US"/>
              </w:rPr>
              <w:t>performance indicators</w:t>
            </w:r>
            <w:r w:rsidR="00B67CCB">
              <w:rPr>
                <w:sz w:val="20"/>
                <w:szCs w:val="20"/>
                <w:lang w:bidi="en-US"/>
              </w:rPr>
              <w:t>.</w:t>
            </w:r>
            <w:r>
              <w:rPr>
                <w:sz w:val="20"/>
                <w:szCs w:val="20"/>
                <w:lang w:bidi="en-US"/>
              </w:rPr>
              <w:t xml:space="preserve"> </w:t>
            </w:r>
            <w:r w:rsidRPr="00EE7081">
              <w:rPr>
                <w:sz w:val="20"/>
                <w:szCs w:val="20"/>
                <w:lang w:bidi="en-US"/>
              </w:rPr>
              <w:t>(See Required Information 4.)</w:t>
            </w:r>
          </w:p>
          <w:p w14:paraId="4CE3A62D" w14:textId="77777777" w:rsidR="00804B54" w:rsidRPr="00EE7081" w:rsidRDefault="00804B54" w:rsidP="00F132FF">
            <w:pPr>
              <w:keepLines/>
              <w:autoSpaceDE w:val="0"/>
              <w:autoSpaceDN w:val="0"/>
              <w:spacing w:line="299" w:lineRule="exact"/>
              <w:ind w:left="101"/>
              <w:rPr>
                <w:sz w:val="20"/>
                <w:szCs w:val="20"/>
                <w:lang w:bidi="en-US"/>
              </w:rPr>
            </w:pPr>
          </w:p>
          <w:p w14:paraId="546ADB05" w14:textId="0EF1C3C3" w:rsidR="00804B54" w:rsidRDefault="00804B54" w:rsidP="00F132FF">
            <w:pPr>
              <w:keepLines/>
              <w:autoSpaceDE w:val="0"/>
              <w:autoSpaceDN w:val="0"/>
              <w:spacing w:line="299" w:lineRule="exact"/>
              <w:ind w:left="101"/>
              <w:rPr>
                <w:sz w:val="20"/>
                <w:szCs w:val="20"/>
                <w:lang w:bidi="en-US"/>
              </w:rPr>
            </w:pPr>
            <w:r>
              <w:rPr>
                <w:sz w:val="20"/>
                <w:szCs w:val="20"/>
                <w:lang w:bidi="en-US"/>
              </w:rPr>
              <w:t xml:space="preserve">As part of the response, applicants should </w:t>
            </w:r>
            <w:r w:rsidRPr="00EE7081">
              <w:rPr>
                <w:sz w:val="20"/>
                <w:szCs w:val="20"/>
                <w:lang w:bidi="en-US"/>
              </w:rPr>
              <w:t>address past effectiveness of the</w:t>
            </w:r>
            <w:r w:rsidR="00D35F82">
              <w:rPr>
                <w:sz w:val="20"/>
                <w:szCs w:val="20"/>
                <w:lang w:bidi="en-US"/>
              </w:rPr>
              <w:t>ir agency</w:t>
            </w:r>
            <w:r w:rsidRPr="00EE7081">
              <w:rPr>
                <w:sz w:val="20"/>
                <w:szCs w:val="20"/>
                <w:lang w:bidi="en-US"/>
              </w:rPr>
              <w:t xml:space="preserve"> in improving the literacy of eligible individuals, especially with respect to eligible individuals who have low levels of literacy. (See Consideration 3</w:t>
            </w:r>
            <w:r w:rsidR="00B67CCB">
              <w:rPr>
                <w:sz w:val="20"/>
                <w:szCs w:val="20"/>
                <w:lang w:bidi="en-US"/>
              </w:rPr>
              <w:t>.</w:t>
            </w:r>
            <w:r w:rsidRPr="00EE7081">
              <w:rPr>
                <w:sz w:val="20"/>
                <w:szCs w:val="20"/>
                <w:lang w:bidi="en-US"/>
              </w:rPr>
              <w:t>)</w:t>
            </w:r>
          </w:p>
          <w:p w14:paraId="22614462" w14:textId="77777777" w:rsidR="00804B54" w:rsidRDefault="00804B54" w:rsidP="00F132FF">
            <w:pPr>
              <w:keepLines/>
              <w:autoSpaceDE w:val="0"/>
              <w:autoSpaceDN w:val="0"/>
              <w:spacing w:line="299" w:lineRule="exact"/>
              <w:ind w:left="101"/>
              <w:rPr>
                <w:sz w:val="20"/>
                <w:szCs w:val="20"/>
                <w:lang w:bidi="en-US"/>
              </w:rPr>
            </w:pPr>
          </w:p>
          <w:p w14:paraId="109A31E8" w14:textId="6487833E" w:rsidR="00804B54" w:rsidRPr="00EE7081" w:rsidRDefault="00804B54" w:rsidP="000E7397">
            <w:pPr>
              <w:keepLines/>
              <w:autoSpaceDE w:val="0"/>
              <w:autoSpaceDN w:val="0"/>
              <w:spacing w:line="299" w:lineRule="exact"/>
              <w:ind w:left="101"/>
              <w:rPr>
                <w:sz w:val="20"/>
                <w:szCs w:val="20"/>
              </w:rPr>
            </w:pPr>
            <w:r>
              <w:rPr>
                <w:sz w:val="20"/>
                <w:szCs w:val="20"/>
              </w:rPr>
              <w:t xml:space="preserve">Applicants should include, at minimum, their two (2) most recent years of performance data specific to the services they intend to provide with the grant. </w:t>
            </w:r>
            <w:r w:rsidRPr="004F0732">
              <w:rPr>
                <w:i/>
                <w:iCs/>
                <w:sz w:val="20"/>
                <w:szCs w:val="20"/>
              </w:rPr>
              <w:t xml:space="preserve">Note: The data provided </w:t>
            </w:r>
            <w:r w:rsidR="00481383">
              <w:rPr>
                <w:i/>
                <w:iCs/>
                <w:sz w:val="20"/>
                <w:szCs w:val="20"/>
              </w:rPr>
              <w:t>for</w:t>
            </w:r>
            <w:r w:rsidRPr="004F0732">
              <w:rPr>
                <w:i/>
                <w:iCs/>
                <w:sz w:val="20"/>
                <w:szCs w:val="20"/>
              </w:rPr>
              <w:t xml:space="preserve"> “Demonstrated Effectiveness” may be </w:t>
            </w:r>
            <w:r>
              <w:rPr>
                <w:i/>
                <w:iCs/>
                <w:sz w:val="20"/>
                <w:szCs w:val="20"/>
              </w:rPr>
              <w:t>duplicated</w:t>
            </w:r>
            <w:r w:rsidRPr="004F0732">
              <w:rPr>
                <w:i/>
                <w:iCs/>
                <w:sz w:val="20"/>
                <w:szCs w:val="20"/>
              </w:rPr>
              <w:t xml:space="preserve"> in this part, but applicants should provide narrative and additional details </w:t>
            </w:r>
            <w:proofErr w:type="gramStart"/>
            <w:r w:rsidRPr="004F0732">
              <w:rPr>
                <w:i/>
                <w:iCs/>
                <w:sz w:val="20"/>
                <w:szCs w:val="20"/>
              </w:rPr>
              <w:t>in order to</w:t>
            </w:r>
            <w:proofErr w:type="gramEnd"/>
            <w:r w:rsidRPr="004F0732">
              <w:rPr>
                <w:i/>
                <w:iCs/>
                <w:sz w:val="20"/>
                <w:szCs w:val="20"/>
              </w:rPr>
              <w:t xml:space="preserve"> achieve a high score.</w:t>
            </w:r>
            <w:r>
              <w:rPr>
                <w:sz w:val="20"/>
                <w:szCs w:val="20"/>
              </w:rPr>
              <w:t xml:space="preserve"> </w:t>
            </w:r>
          </w:p>
        </w:tc>
      </w:tr>
      <w:tr w:rsidR="00804B54" w:rsidRPr="00EE7081" w14:paraId="601C48CF" w14:textId="77777777" w:rsidTr="00933E48">
        <w:trPr>
          <w:cantSplit/>
          <w:trHeight w:val="377"/>
        </w:trPr>
        <w:tc>
          <w:tcPr>
            <w:tcW w:w="7055" w:type="dxa"/>
          </w:tcPr>
          <w:p w14:paraId="7926ABEA" w14:textId="08BB3519" w:rsidR="00804B54" w:rsidRPr="00EE7081" w:rsidRDefault="009C352A" w:rsidP="00F132FF">
            <w:pPr>
              <w:keepLines/>
              <w:autoSpaceDE w:val="0"/>
              <w:autoSpaceDN w:val="0"/>
              <w:spacing w:line="299" w:lineRule="exact"/>
              <w:ind w:left="107"/>
              <w:rPr>
                <w:sz w:val="20"/>
                <w:szCs w:val="20"/>
              </w:rPr>
            </w:pPr>
            <w:r>
              <w:rPr>
                <w:sz w:val="20"/>
                <w:szCs w:val="20"/>
              </w:rPr>
              <w:t>No</w:t>
            </w:r>
            <w:r w:rsidR="00804B54" w:rsidRPr="00EE7081">
              <w:rPr>
                <w:sz w:val="20"/>
                <w:szCs w:val="20"/>
              </w:rPr>
              <w:t xml:space="preserve"> or poor description of past effectiveness, performance, results, program outcomes, etc.</w:t>
            </w:r>
            <w:r w:rsidR="00804B54">
              <w:rPr>
                <w:sz w:val="20"/>
                <w:szCs w:val="20"/>
              </w:rPr>
              <w:t xml:space="preserve"> No data is provided, or the data indicate poor past performance.</w:t>
            </w:r>
          </w:p>
        </w:tc>
        <w:tc>
          <w:tcPr>
            <w:tcW w:w="2295" w:type="dxa"/>
            <w:vAlign w:val="center"/>
          </w:tcPr>
          <w:p w14:paraId="5B9E39CD" w14:textId="77777777" w:rsidR="00804B54" w:rsidRPr="00EE7081" w:rsidRDefault="00804B54" w:rsidP="00F132FF">
            <w:pPr>
              <w:keepLines/>
              <w:autoSpaceDE w:val="0"/>
              <w:autoSpaceDN w:val="0"/>
              <w:spacing w:line="299" w:lineRule="exact"/>
              <w:ind w:left="107"/>
              <w:jc w:val="center"/>
              <w:rPr>
                <w:sz w:val="20"/>
                <w:szCs w:val="20"/>
              </w:rPr>
            </w:pPr>
            <w:r w:rsidRPr="00EE7081">
              <w:rPr>
                <w:sz w:val="20"/>
                <w:szCs w:val="20"/>
              </w:rPr>
              <w:t>0-</w:t>
            </w:r>
            <w:r>
              <w:rPr>
                <w:sz w:val="20"/>
                <w:szCs w:val="20"/>
              </w:rPr>
              <w:t>9</w:t>
            </w:r>
            <w:r w:rsidRPr="00EE7081">
              <w:rPr>
                <w:sz w:val="20"/>
                <w:szCs w:val="20"/>
              </w:rPr>
              <w:t xml:space="preserve"> points</w:t>
            </w:r>
          </w:p>
        </w:tc>
      </w:tr>
      <w:tr w:rsidR="00933E48" w:rsidRPr="00EE7081" w14:paraId="17576439" w14:textId="77777777" w:rsidTr="00933E48">
        <w:trPr>
          <w:cantSplit/>
          <w:trHeight w:val="440"/>
        </w:trPr>
        <w:tc>
          <w:tcPr>
            <w:tcW w:w="7055" w:type="dxa"/>
          </w:tcPr>
          <w:p w14:paraId="38221726" w14:textId="674ABB10" w:rsidR="00933E48" w:rsidRPr="00EE7081" w:rsidRDefault="00933E48" w:rsidP="00933E48">
            <w:pPr>
              <w:keepLines/>
              <w:autoSpaceDE w:val="0"/>
              <w:autoSpaceDN w:val="0"/>
              <w:spacing w:line="297" w:lineRule="exact"/>
              <w:ind w:left="107"/>
              <w:rPr>
                <w:sz w:val="20"/>
                <w:szCs w:val="20"/>
              </w:rPr>
            </w:pPr>
            <w:r w:rsidRPr="00EE7081">
              <w:rPr>
                <w:sz w:val="20"/>
                <w:szCs w:val="20"/>
              </w:rPr>
              <w:t xml:space="preserve">Brief or generic description of past effectiveness, performance, results, </w:t>
            </w:r>
            <w:r>
              <w:rPr>
                <w:sz w:val="20"/>
                <w:szCs w:val="20"/>
              </w:rPr>
              <w:t xml:space="preserve">post-exit </w:t>
            </w:r>
            <w:r w:rsidRPr="00EE7081">
              <w:rPr>
                <w:sz w:val="20"/>
                <w:szCs w:val="20"/>
              </w:rPr>
              <w:t xml:space="preserve">outcomes, etc. Addresses only some of the performance </w:t>
            </w:r>
            <w:r>
              <w:rPr>
                <w:sz w:val="20"/>
                <w:szCs w:val="20"/>
              </w:rPr>
              <w:t>indicators</w:t>
            </w:r>
            <w:r w:rsidRPr="00EE7081">
              <w:rPr>
                <w:sz w:val="20"/>
                <w:szCs w:val="20"/>
              </w:rPr>
              <w:t>. Provides some data as evidence</w:t>
            </w:r>
            <w:r>
              <w:rPr>
                <w:sz w:val="20"/>
                <w:szCs w:val="20"/>
              </w:rPr>
              <w:t>, and the data indicate somewhat effective past performance (e.g., fewer than 40% of students showed learning gains; limited numbers of students earned diplomas and successfully transitioned to postsecondary, training, or career opportunities, etc.). Brief or generic description of outcomes for low literacy levels. No description of plans for having staff collect and report data.</w:t>
            </w:r>
          </w:p>
        </w:tc>
        <w:tc>
          <w:tcPr>
            <w:tcW w:w="2295" w:type="dxa"/>
            <w:vAlign w:val="center"/>
          </w:tcPr>
          <w:p w14:paraId="0EDEE081" w14:textId="77777777" w:rsidR="00933E48" w:rsidRPr="00EE7081" w:rsidRDefault="00933E48" w:rsidP="00933E48">
            <w:pPr>
              <w:keepLines/>
              <w:autoSpaceDE w:val="0"/>
              <w:autoSpaceDN w:val="0"/>
              <w:spacing w:line="297" w:lineRule="exact"/>
              <w:ind w:left="107"/>
              <w:jc w:val="center"/>
              <w:rPr>
                <w:sz w:val="20"/>
                <w:szCs w:val="20"/>
              </w:rPr>
            </w:pPr>
            <w:r>
              <w:rPr>
                <w:sz w:val="20"/>
                <w:szCs w:val="20"/>
              </w:rPr>
              <w:t>10-19</w:t>
            </w:r>
            <w:r w:rsidRPr="00EE7081">
              <w:rPr>
                <w:sz w:val="20"/>
                <w:szCs w:val="20"/>
              </w:rPr>
              <w:t xml:space="preserve"> points</w:t>
            </w:r>
          </w:p>
        </w:tc>
      </w:tr>
      <w:tr w:rsidR="00316684" w:rsidRPr="00EE7081" w14:paraId="72B60225" w14:textId="77777777" w:rsidTr="00933E48">
        <w:trPr>
          <w:cantSplit/>
        </w:trPr>
        <w:tc>
          <w:tcPr>
            <w:tcW w:w="7055" w:type="dxa"/>
          </w:tcPr>
          <w:p w14:paraId="0EAC8A65" w14:textId="7BBC8296" w:rsidR="00316684" w:rsidRPr="00EE7081" w:rsidRDefault="00316684" w:rsidP="00316684">
            <w:pPr>
              <w:keepLines/>
              <w:tabs>
                <w:tab w:val="left" w:pos="408"/>
              </w:tabs>
              <w:autoSpaceDE w:val="0"/>
              <w:autoSpaceDN w:val="0"/>
              <w:spacing w:line="293" w:lineRule="exact"/>
              <w:ind w:left="107"/>
              <w:rPr>
                <w:sz w:val="20"/>
                <w:szCs w:val="20"/>
              </w:rPr>
            </w:pPr>
            <w:r w:rsidRPr="00EE7081">
              <w:rPr>
                <w:sz w:val="20"/>
                <w:szCs w:val="20"/>
              </w:rPr>
              <w:t xml:space="preserve">Detailed description of past effectiveness, performance, results, </w:t>
            </w:r>
            <w:r>
              <w:rPr>
                <w:sz w:val="20"/>
                <w:szCs w:val="20"/>
              </w:rPr>
              <w:t>post-exit</w:t>
            </w:r>
            <w:r w:rsidRPr="00EE7081">
              <w:rPr>
                <w:sz w:val="20"/>
                <w:szCs w:val="20"/>
              </w:rPr>
              <w:t xml:space="preserve"> outcomes, etc. Addresses all or most of the performance </w:t>
            </w:r>
            <w:r>
              <w:rPr>
                <w:sz w:val="20"/>
                <w:szCs w:val="20"/>
              </w:rPr>
              <w:t>indicators</w:t>
            </w:r>
            <w:r w:rsidRPr="00EE7081">
              <w:rPr>
                <w:sz w:val="20"/>
                <w:szCs w:val="20"/>
              </w:rPr>
              <w:t>. Provides ample data as evidence</w:t>
            </w:r>
            <w:r>
              <w:rPr>
                <w:sz w:val="20"/>
                <w:szCs w:val="20"/>
              </w:rPr>
              <w:t>, and the data indicate very effective past performance (e.g., more than 40% of students showed learning gains; a large proportion of students earned diplomas and successfully transitioned to postsecondary, training, or career opportunities, etc.)</w:t>
            </w:r>
            <w:r w:rsidRPr="00EE7081">
              <w:rPr>
                <w:sz w:val="20"/>
                <w:szCs w:val="20"/>
              </w:rPr>
              <w:t>. Specifically describes effectiveness of, and provides data for, serving students with low literacy levels.</w:t>
            </w:r>
            <w:r>
              <w:rPr>
                <w:sz w:val="20"/>
                <w:szCs w:val="20"/>
              </w:rPr>
              <w:t xml:space="preserve"> Demonstrates the ability to effectively provide foundational instruction to adult learners (i.e., basic math, reading, writing and/or English language acquisition, as applicable). Describes a plan to have capable staff members collect and report performance data via the Jobs4TN MIS.</w:t>
            </w:r>
          </w:p>
        </w:tc>
        <w:tc>
          <w:tcPr>
            <w:tcW w:w="2295" w:type="dxa"/>
            <w:vAlign w:val="center"/>
          </w:tcPr>
          <w:p w14:paraId="0C45F433" w14:textId="77777777" w:rsidR="00316684" w:rsidRPr="00EE7081" w:rsidRDefault="00316684" w:rsidP="00316684">
            <w:pPr>
              <w:keepLines/>
              <w:tabs>
                <w:tab w:val="left" w:pos="408"/>
              </w:tabs>
              <w:autoSpaceDE w:val="0"/>
              <w:autoSpaceDN w:val="0"/>
              <w:spacing w:line="293" w:lineRule="exact"/>
              <w:ind w:left="107"/>
              <w:jc w:val="center"/>
              <w:rPr>
                <w:sz w:val="20"/>
                <w:szCs w:val="20"/>
              </w:rPr>
            </w:pPr>
            <w:r>
              <w:rPr>
                <w:sz w:val="20"/>
                <w:szCs w:val="20"/>
              </w:rPr>
              <w:t>20-30</w:t>
            </w:r>
            <w:r w:rsidRPr="00EE7081">
              <w:rPr>
                <w:sz w:val="20"/>
                <w:szCs w:val="20"/>
              </w:rPr>
              <w:t xml:space="preserve"> points</w:t>
            </w:r>
          </w:p>
        </w:tc>
      </w:tr>
      <w:tr w:rsidR="00804B54" w:rsidRPr="00EE7081" w14:paraId="0FE0A040" w14:textId="77777777" w:rsidTr="00933E48">
        <w:trPr>
          <w:cantSplit/>
          <w:trHeight w:val="458"/>
        </w:trPr>
        <w:tc>
          <w:tcPr>
            <w:tcW w:w="7055" w:type="dxa"/>
            <w:vAlign w:val="center"/>
          </w:tcPr>
          <w:p w14:paraId="4B7D396E" w14:textId="77777777" w:rsidR="00804B54" w:rsidRPr="00EE7081" w:rsidRDefault="00804B54" w:rsidP="00F132FF">
            <w:pPr>
              <w:keepLines/>
              <w:tabs>
                <w:tab w:val="left" w:pos="408"/>
              </w:tabs>
              <w:autoSpaceDE w:val="0"/>
              <w:autoSpaceDN w:val="0"/>
              <w:spacing w:line="293" w:lineRule="exact"/>
              <w:ind w:left="107"/>
              <w:jc w:val="right"/>
              <w:rPr>
                <w:b/>
                <w:bCs/>
                <w:w w:val="110"/>
                <w:sz w:val="20"/>
                <w:szCs w:val="20"/>
              </w:rPr>
            </w:pPr>
            <w:r w:rsidRPr="00EE7081">
              <w:rPr>
                <w:b/>
                <w:bCs/>
                <w:w w:val="110"/>
                <w:sz w:val="20"/>
                <w:szCs w:val="20"/>
              </w:rPr>
              <w:lastRenderedPageBreak/>
              <w:t>Score</w:t>
            </w:r>
          </w:p>
        </w:tc>
        <w:tc>
          <w:tcPr>
            <w:tcW w:w="2295" w:type="dxa"/>
            <w:vAlign w:val="center"/>
          </w:tcPr>
          <w:p w14:paraId="1E1111B2" w14:textId="77777777" w:rsidR="00804B54" w:rsidRPr="00EE7081" w:rsidRDefault="00804B54" w:rsidP="00F132FF">
            <w:pPr>
              <w:keepLines/>
              <w:tabs>
                <w:tab w:val="left" w:pos="408"/>
              </w:tabs>
              <w:autoSpaceDE w:val="0"/>
              <w:autoSpaceDN w:val="0"/>
              <w:spacing w:line="293" w:lineRule="exact"/>
              <w:ind w:left="107"/>
              <w:jc w:val="center"/>
              <w:rPr>
                <w:b/>
                <w:bCs/>
                <w:sz w:val="20"/>
                <w:szCs w:val="20"/>
              </w:rPr>
            </w:pPr>
            <w:r w:rsidRPr="00EE7081">
              <w:rPr>
                <w:b/>
                <w:bCs/>
                <w:sz w:val="20"/>
                <w:szCs w:val="20"/>
              </w:rPr>
              <w:t>/</w:t>
            </w:r>
            <w:r>
              <w:rPr>
                <w:b/>
                <w:bCs/>
                <w:sz w:val="20"/>
                <w:szCs w:val="20"/>
              </w:rPr>
              <w:t>30</w:t>
            </w:r>
            <w:r w:rsidRPr="00EE7081">
              <w:rPr>
                <w:b/>
                <w:bCs/>
                <w:sz w:val="20"/>
                <w:szCs w:val="20"/>
              </w:rPr>
              <w:t xml:space="preserve"> points</w:t>
            </w:r>
          </w:p>
        </w:tc>
      </w:tr>
      <w:tr w:rsidR="00804B54" w:rsidRPr="00EE7081" w14:paraId="61840102" w14:textId="77777777" w:rsidTr="00933E48">
        <w:trPr>
          <w:cantSplit/>
        </w:trPr>
        <w:tc>
          <w:tcPr>
            <w:tcW w:w="9350" w:type="dxa"/>
            <w:gridSpan w:val="2"/>
          </w:tcPr>
          <w:p w14:paraId="37706EC6" w14:textId="77777777" w:rsidR="00804B54" w:rsidRPr="00EE7081" w:rsidRDefault="00804B54" w:rsidP="00F132FF">
            <w:pPr>
              <w:keepLines/>
              <w:tabs>
                <w:tab w:val="left" w:pos="408"/>
              </w:tabs>
              <w:autoSpaceDE w:val="0"/>
              <w:autoSpaceDN w:val="0"/>
              <w:spacing w:line="293" w:lineRule="exact"/>
              <w:ind w:left="107"/>
              <w:rPr>
                <w:w w:val="110"/>
                <w:sz w:val="20"/>
                <w:szCs w:val="20"/>
              </w:rPr>
            </w:pPr>
            <w:r w:rsidRPr="00EE7081">
              <w:rPr>
                <w:b/>
                <w:bCs/>
                <w:w w:val="110"/>
                <w:sz w:val="20"/>
                <w:szCs w:val="20"/>
              </w:rPr>
              <w:t>Comments:</w:t>
            </w:r>
            <w:r w:rsidRPr="00EE7081">
              <w:rPr>
                <w:w w:val="110"/>
                <w:sz w:val="20"/>
                <w:szCs w:val="20"/>
              </w:rPr>
              <w:t xml:space="preserve"> </w:t>
            </w:r>
          </w:p>
          <w:p w14:paraId="6F566C42" w14:textId="77777777" w:rsidR="00804B54" w:rsidRPr="00EE7081" w:rsidRDefault="00804B54" w:rsidP="00F132FF">
            <w:pPr>
              <w:keepLines/>
              <w:tabs>
                <w:tab w:val="left" w:pos="408"/>
              </w:tabs>
              <w:autoSpaceDE w:val="0"/>
              <w:autoSpaceDN w:val="0"/>
              <w:spacing w:line="293" w:lineRule="exact"/>
              <w:ind w:left="107"/>
              <w:jc w:val="center"/>
              <w:rPr>
                <w:sz w:val="20"/>
                <w:szCs w:val="20"/>
              </w:rPr>
            </w:pPr>
          </w:p>
        </w:tc>
      </w:tr>
    </w:tbl>
    <w:p w14:paraId="0D1D4233" w14:textId="13DE0F86" w:rsidR="00804B54" w:rsidRDefault="00804B54" w:rsidP="00EA0734">
      <w:pPr>
        <w:keepLines/>
        <w:rPr>
          <w:rFonts w:eastAsiaTheme="minorHAnsi"/>
          <w:b/>
          <w:bCs/>
          <w:sz w:val="20"/>
          <w:szCs w:val="20"/>
        </w:rPr>
      </w:pPr>
    </w:p>
    <w:p w14:paraId="49064199" w14:textId="77777777" w:rsidR="00804B54" w:rsidRDefault="00804B54">
      <w:pPr>
        <w:rPr>
          <w:rFonts w:eastAsiaTheme="minorHAnsi"/>
          <w:b/>
          <w:bCs/>
          <w:sz w:val="20"/>
          <w:szCs w:val="20"/>
        </w:rPr>
      </w:pPr>
      <w:r>
        <w:rPr>
          <w:rFonts w:eastAsiaTheme="minorHAnsi"/>
          <w:b/>
          <w:bCs/>
          <w:sz w:val="20"/>
          <w:szCs w:val="20"/>
        </w:rPr>
        <w:br w:type="page"/>
      </w:r>
    </w:p>
    <w:tbl>
      <w:tblPr>
        <w:tblStyle w:val="TableGrid1"/>
        <w:tblW w:w="0" w:type="auto"/>
        <w:tblCellMar>
          <w:top w:w="115" w:type="dxa"/>
          <w:left w:w="115" w:type="dxa"/>
          <w:bottom w:w="115" w:type="dxa"/>
          <w:right w:w="115" w:type="dxa"/>
        </w:tblCellMar>
        <w:tblLook w:val="04A0" w:firstRow="1" w:lastRow="0" w:firstColumn="1" w:lastColumn="0" w:noHBand="0" w:noVBand="1"/>
      </w:tblPr>
      <w:tblGrid>
        <w:gridCol w:w="7094"/>
        <w:gridCol w:w="2256"/>
      </w:tblGrid>
      <w:tr w:rsidR="00804B54" w:rsidRPr="00EE7081" w14:paraId="1BC62FEF" w14:textId="77777777" w:rsidTr="00F132FF">
        <w:trPr>
          <w:cantSplit/>
          <w:trHeight w:val="377"/>
        </w:trPr>
        <w:tc>
          <w:tcPr>
            <w:tcW w:w="10790" w:type="dxa"/>
            <w:gridSpan w:val="2"/>
            <w:shd w:val="clear" w:color="auto" w:fill="17365D" w:themeFill="text2" w:themeFillShade="BF"/>
            <w:vAlign w:val="center"/>
          </w:tcPr>
          <w:p w14:paraId="36815C7E" w14:textId="77777777" w:rsidR="00804B54" w:rsidRPr="00EE7081" w:rsidRDefault="00804B54" w:rsidP="00F132FF">
            <w:pPr>
              <w:keepLines/>
              <w:autoSpaceDE w:val="0"/>
              <w:autoSpaceDN w:val="0"/>
              <w:spacing w:line="299" w:lineRule="exact"/>
              <w:ind w:left="101"/>
              <w:jc w:val="center"/>
              <w:rPr>
                <w:b/>
                <w:bCs/>
              </w:rPr>
            </w:pPr>
            <w:r w:rsidRPr="00EE7081">
              <w:rPr>
                <w:b/>
                <w:bCs/>
              </w:rPr>
              <w:lastRenderedPageBreak/>
              <w:t xml:space="preserve">PART </w:t>
            </w:r>
            <w:r>
              <w:rPr>
                <w:b/>
                <w:bCs/>
              </w:rPr>
              <w:t>4: ACADEMIC RIGOR</w:t>
            </w:r>
            <w:r w:rsidRPr="00EE7081">
              <w:rPr>
                <w:b/>
                <w:bCs/>
              </w:rPr>
              <w:t xml:space="preserve"> – </w:t>
            </w:r>
            <w:r>
              <w:rPr>
                <w:b/>
                <w:bCs/>
              </w:rPr>
              <w:t>25</w:t>
            </w:r>
            <w:r w:rsidRPr="00EE7081">
              <w:rPr>
                <w:b/>
                <w:bCs/>
              </w:rPr>
              <w:t xml:space="preserve"> points possible</w:t>
            </w:r>
          </w:p>
        </w:tc>
      </w:tr>
      <w:tr w:rsidR="00804B54" w:rsidRPr="00EE7081" w14:paraId="70ECC7B8" w14:textId="77777777" w:rsidTr="00F132FF">
        <w:trPr>
          <w:cantSplit/>
          <w:trHeight w:val="377"/>
        </w:trPr>
        <w:tc>
          <w:tcPr>
            <w:tcW w:w="10790" w:type="dxa"/>
            <w:gridSpan w:val="2"/>
            <w:shd w:val="clear" w:color="auto" w:fill="DBE5F1" w:themeFill="accent1" w:themeFillTint="33"/>
            <w:vAlign w:val="center"/>
          </w:tcPr>
          <w:p w14:paraId="1D29955B" w14:textId="77777777" w:rsidR="00804B54" w:rsidRPr="00EE7081" w:rsidRDefault="00804B54" w:rsidP="00F132FF">
            <w:pPr>
              <w:keepLines/>
              <w:autoSpaceDE w:val="0"/>
              <w:autoSpaceDN w:val="0"/>
              <w:spacing w:line="299" w:lineRule="exact"/>
              <w:ind w:left="101"/>
              <w:rPr>
                <w:bCs/>
                <w:sz w:val="20"/>
                <w:szCs w:val="20"/>
              </w:rPr>
            </w:pPr>
            <w:r w:rsidRPr="00EE7081">
              <w:rPr>
                <w:bCs/>
                <w:sz w:val="20"/>
                <w:szCs w:val="20"/>
              </w:rPr>
              <w:t xml:space="preserve">Describe how the eligible provider’s program— </w:t>
            </w:r>
          </w:p>
          <w:p w14:paraId="5F537A01" w14:textId="77777777" w:rsidR="00804B54" w:rsidRPr="00EE7081" w:rsidRDefault="00804B54" w:rsidP="00F132FF">
            <w:pPr>
              <w:keepLines/>
              <w:autoSpaceDE w:val="0"/>
              <w:autoSpaceDN w:val="0"/>
              <w:spacing w:line="299" w:lineRule="exact"/>
              <w:ind w:left="510"/>
              <w:rPr>
                <w:bCs/>
                <w:sz w:val="20"/>
                <w:szCs w:val="20"/>
              </w:rPr>
            </w:pPr>
            <w:r w:rsidRPr="00EE7081">
              <w:rPr>
                <w:bCs/>
                <w:sz w:val="20"/>
                <w:szCs w:val="20"/>
              </w:rPr>
              <w:t xml:space="preserve">(A) is of sufficient intensity and quality, and based on the most rigorous research available so that participants achieve substantial learning gains; and </w:t>
            </w:r>
          </w:p>
          <w:p w14:paraId="207C702D" w14:textId="4113F3D2" w:rsidR="00804B54" w:rsidRPr="00EE7081" w:rsidRDefault="00804B54" w:rsidP="00F132FF">
            <w:pPr>
              <w:keepLines/>
              <w:autoSpaceDE w:val="0"/>
              <w:autoSpaceDN w:val="0"/>
              <w:spacing w:line="299" w:lineRule="exact"/>
              <w:ind w:left="510"/>
              <w:rPr>
                <w:bCs/>
                <w:sz w:val="20"/>
                <w:szCs w:val="20"/>
              </w:rPr>
            </w:pPr>
            <w:r w:rsidRPr="00EE7081">
              <w:rPr>
                <w:bCs/>
                <w:sz w:val="20"/>
                <w:szCs w:val="20"/>
              </w:rPr>
              <w:t>(B)</w:t>
            </w:r>
            <w:r w:rsidR="006D2757">
              <w:rPr>
                <w:bCs/>
                <w:sz w:val="20"/>
                <w:szCs w:val="20"/>
              </w:rPr>
              <w:t xml:space="preserve"> </w:t>
            </w:r>
            <w:r w:rsidRPr="00EE7081">
              <w:rPr>
                <w:bCs/>
                <w:sz w:val="20"/>
                <w:szCs w:val="20"/>
              </w:rPr>
              <w:t>uses instructional practices that include the essential components of reading instruction. (See Consideration 5.)</w:t>
            </w:r>
          </w:p>
          <w:p w14:paraId="60E832D5" w14:textId="77777777" w:rsidR="00804B54" w:rsidRPr="00EE7081" w:rsidRDefault="00804B54" w:rsidP="00F132FF">
            <w:pPr>
              <w:keepLines/>
              <w:autoSpaceDE w:val="0"/>
              <w:autoSpaceDN w:val="0"/>
              <w:spacing w:line="299" w:lineRule="exact"/>
              <w:ind w:left="101"/>
              <w:rPr>
                <w:bCs/>
                <w:sz w:val="20"/>
                <w:szCs w:val="20"/>
              </w:rPr>
            </w:pPr>
          </w:p>
          <w:p w14:paraId="46F2EFF8" w14:textId="77777777" w:rsidR="00804B54" w:rsidRPr="00EE7081" w:rsidRDefault="00804B54" w:rsidP="00F132FF">
            <w:pPr>
              <w:keepLines/>
              <w:autoSpaceDE w:val="0"/>
              <w:autoSpaceDN w:val="0"/>
              <w:spacing w:line="299" w:lineRule="exact"/>
              <w:ind w:left="101"/>
              <w:rPr>
                <w:sz w:val="20"/>
                <w:szCs w:val="20"/>
              </w:rPr>
            </w:pPr>
            <w:r w:rsidRPr="00EE7081">
              <w:rPr>
                <w:bCs/>
                <w:sz w:val="20"/>
                <w:szCs w:val="20"/>
              </w:rPr>
              <w:t>Also address whether the eligible provider’s activities, including whether reading, writing, speaking, mathematics, and English language acquisition instruction delivered by the eligible provider, are based on the best practices derived from the most rigorous research available and appropriate, including scientifically valid research and effective educational practice. (See Consideration 6.)</w:t>
            </w:r>
          </w:p>
        </w:tc>
      </w:tr>
      <w:tr w:rsidR="00804B54" w:rsidRPr="00EE7081" w14:paraId="50346CFA" w14:textId="77777777" w:rsidTr="00F132FF">
        <w:trPr>
          <w:cantSplit/>
          <w:trHeight w:val="377"/>
        </w:trPr>
        <w:tc>
          <w:tcPr>
            <w:tcW w:w="8206" w:type="dxa"/>
          </w:tcPr>
          <w:p w14:paraId="46B6DAC0" w14:textId="7D754136" w:rsidR="00804B54" w:rsidRPr="00EE7081" w:rsidRDefault="003C1104" w:rsidP="00F132FF">
            <w:pPr>
              <w:keepLines/>
              <w:autoSpaceDE w:val="0"/>
              <w:autoSpaceDN w:val="0"/>
              <w:spacing w:line="299" w:lineRule="exact"/>
              <w:ind w:left="107"/>
              <w:rPr>
                <w:sz w:val="20"/>
                <w:szCs w:val="20"/>
              </w:rPr>
            </w:pPr>
            <w:r>
              <w:rPr>
                <w:sz w:val="20"/>
                <w:szCs w:val="20"/>
              </w:rPr>
              <w:t>No</w:t>
            </w:r>
            <w:r w:rsidR="00804B54" w:rsidRPr="00EE7081">
              <w:rPr>
                <w:sz w:val="20"/>
                <w:szCs w:val="20"/>
              </w:rPr>
              <w:t xml:space="preserve"> or poor description of the program’s instructional practices. Indicates no knowledge of best practices and research concerning pedagogy/andragogy. </w:t>
            </w:r>
          </w:p>
        </w:tc>
        <w:tc>
          <w:tcPr>
            <w:tcW w:w="2584" w:type="dxa"/>
            <w:vAlign w:val="center"/>
          </w:tcPr>
          <w:p w14:paraId="6FF2C9CB" w14:textId="77777777" w:rsidR="00804B54" w:rsidRPr="00EE7081" w:rsidRDefault="00804B54" w:rsidP="00F132FF">
            <w:pPr>
              <w:keepLines/>
              <w:autoSpaceDE w:val="0"/>
              <w:autoSpaceDN w:val="0"/>
              <w:spacing w:line="299" w:lineRule="exact"/>
              <w:ind w:left="107"/>
              <w:jc w:val="center"/>
              <w:rPr>
                <w:sz w:val="20"/>
                <w:szCs w:val="20"/>
              </w:rPr>
            </w:pPr>
            <w:r w:rsidRPr="00EE7081">
              <w:rPr>
                <w:sz w:val="20"/>
                <w:szCs w:val="20"/>
              </w:rPr>
              <w:t>0-</w:t>
            </w:r>
            <w:r>
              <w:rPr>
                <w:sz w:val="20"/>
                <w:szCs w:val="20"/>
              </w:rPr>
              <w:t>6</w:t>
            </w:r>
            <w:r w:rsidRPr="00EE7081">
              <w:rPr>
                <w:sz w:val="20"/>
                <w:szCs w:val="20"/>
              </w:rPr>
              <w:t xml:space="preserve"> points</w:t>
            </w:r>
          </w:p>
        </w:tc>
      </w:tr>
      <w:tr w:rsidR="00804B54" w:rsidRPr="00EE7081" w14:paraId="097A8162" w14:textId="77777777" w:rsidTr="00F132FF">
        <w:trPr>
          <w:cantSplit/>
          <w:trHeight w:val="440"/>
        </w:trPr>
        <w:tc>
          <w:tcPr>
            <w:tcW w:w="8206" w:type="dxa"/>
          </w:tcPr>
          <w:p w14:paraId="064592F5" w14:textId="77777777" w:rsidR="00804B54" w:rsidRPr="00EE7081" w:rsidRDefault="00804B54" w:rsidP="00F132FF">
            <w:pPr>
              <w:keepLines/>
              <w:autoSpaceDE w:val="0"/>
              <w:autoSpaceDN w:val="0"/>
              <w:spacing w:line="297" w:lineRule="exact"/>
              <w:ind w:left="107"/>
              <w:rPr>
                <w:sz w:val="20"/>
                <w:szCs w:val="20"/>
              </w:rPr>
            </w:pPr>
            <w:r w:rsidRPr="00EE7081">
              <w:rPr>
                <w:sz w:val="20"/>
                <w:szCs w:val="20"/>
              </w:rPr>
              <w:t>Brief or generic description of the program’s instructional practices. Provides some details of subject-specific pedagogical/andragogical practices. Somewhat cites research to validate the practices. Level of academic rigor is difficult to ascertain or seems possibly not sufficient to help students achieve education goals.</w:t>
            </w:r>
          </w:p>
        </w:tc>
        <w:tc>
          <w:tcPr>
            <w:tcW w:w="2584" w:type="dxa"/>
            <w:vAlign w:val="center"/>
          </w:tcPr>
          <w:p w14:paraId="36237634" w14:textId="77777777" w:rsidR="00804B54" w:rsidRPr="00EE7081" w:rsidRDefault="00804B54" w:rsidP="00F132FF">
            <w:pPr>
              <w:keepLines/>
              <w:autoSpaceDE w:val="0"/>
              <w:autoSpaceDN w:val="0"/>
              <w:spacing w:line="297" w:lineRule="exact"/>
              <w:ind w:left="107"/>
              <w:jc w:val="center"/>
              <w:rPr>
                <w:sz w:val="20"/>
                <w:szCs w:val="20"/>
              </w:rPr>
            </w:pPr>
            <w:r>
              <w:rPr>
                <w:sz w:val="20"/>
                <w:szCs w:val="20"/>
              </w:rPr>
              <w:t>7-13</w:t>
            </w:r>
            <w:r w:rsidRPr="00EE7081">
              <w:rPr>
                <w:sz w:val="20"/>
                <w:szCs w:val="20"/>
              </w:rPr>
              <w:t xml:space="preserve"> points</w:t>
            </w:r>
          </w:p>
        </w:tc>
      </w:tr>
      <w:tr w:rsidR="00804B54" w:rsidRPr="00EE7081" w14:paraId="04773D9B" w14:textId="77777777" w:rsidTr="00F132FF">
        <w:trPr>
          <w:cantSplit/>
        </w:trPr>
        <w:tc>
          <w:tcPr>
            <w:tcW w:w="8206" w:type="dxa"/>
          </w:tcPr>
          <w:p w14:paraId="3BC253EF" w14:textId="77777777" w:rsidR="00804B54" w:rsidRPr="00EE7081" w:rsidRDefault="00804B54" w:rsidP="00F132FF">
            <w:pPr>
              <w:keepLines/>
              <w:tabs>
                <w:tab w:val="left" w:pos="408"/>
              </w:tabs>
              <w:autoSpaceDE w:val="0"/>
              <w:autoSpaceDN w:val="0"/>
              <w:spacing w:line="293" w:lineRule="exact"/>
              <w:ind w:left="107"/>
              <w:rPr>
                <w:sz w:val="20"/>
                <w:szCs w:val="20"/>
              </w:rPr>
            </w:pPr>
            <w:r w:rsidRPr="00EE7081">
              <w:rPr>
                <w:sz w:val="20"/>
                <w:szCs w:val="20"/>
              </w:rPr>
              <w:t>Detailed description of the program’s academic practices. Specifically details subject-specific pedagogical/andragogical practices and cites research to justify the practices. Specifically addresses how the program incorporates the essential components of reading instruction. Level of academic rigor is clearly described and seems sufficient to help students achieve education goals.</w:t>
            </w:r>
          </w:p>
        </w:tc>
        <w:tc>
          <w:tcPr>
            <w:tcW w:w="2584" w:type="dxa"/>
            <w:vAlign w:val="center"/>
          </w:tcPr>
          <w:p w14:paraId="291ACEAB" w14:textId="77777777" w:rsidR="00804B54" w:rsidRPr="00EE7081" w:rsidRDefault="00804B54" w:rsidP="00F132FF">
            <w:pPr>
              <w:keepLines/>
              <w:tabs>
                <w:tab w:val="left" w:pos="408"/>
              </w:tabs>
              <w:autoSpaceDE w:val="0"/>
              <w:autoSpaceDN w:val="0"/>
              <w:spacing w:line="293" w:lineRule="exact"/>
              <w:ind w:left="107"/>
              <w:jc w:val="center"/>
              <w:rPr>
                <w:sz w:val="20"/>
                <w:szCs w:val="20"/>
              </w:rPr>
            </w:pPr>
            <w:r>
              <w:rPr>
                <w:sz w:val="20"/>
                <w:szCs w:val="20"/>
              </w:rPr>
              <w:t>14-20</w:t>
            </w:r>
            <w:r w:rsidRPr="00EE7081">
              <w:rPr>
                <w:sz w:val="20"/>
                <w:szCs w:val="20"/>
              </w:rPr>
              <w:t xml:space="preserve"> points</w:t>
            </w:r>
          </w:p>
        </w:tc>
      </w:tr>
      <w:tr w:rsidR="00804B54" w:rsidRPr="00EE7081" w14:paraId="6AB339BA" w14:textId="77777777" w:rsidTr="00F132FF">
        <w:trPr>
          <w:cantSplit/>
          <w:trHeight w:val="458"/>
        </w:trPr>
        <w:tc>
          <w:tcPr>
            <w:tcW w:w="8206" w:type="dxa"/>
            <w:vAlign w:val="center"/>
          </w:tcPr>
          <w:p w14:paraId="6D8321B9" w14:textId="77777777" w:rsidR="00804B54" w:rsidRPr="00EE7081" w:rsidRDefault="00804B54" w:rsidP="00F132FF">
            <w:pPr>
              <w:keepLines/>
              <w:tabs>
                <w:tab w:val="left" w:pos="408"/>
              </w:tabs>
              <w:autoSpaceDE w:val="0"/>
              <w:autoSpaceDN w:val="0"/>
              <w:spacing w:line="293" w:lineRule="exact"/>
              <w:ind w:left="107"/>
              <w:jc w:val="right"/>
              <w:rPr>
                <w:b/>
                <w:bCs/>
                <w:w w:val="110"/>
                <w:sz w:val="20"/>
                <w:szCs w:val="20"/>
              </w:rPr>
            </w:pPr>
            <w:r w:rsidRPr="00EE7081">
              <w:rPr>
                <w:b/>
                <w:bCs/>
                <w:w w:val="110"/>
                <w:sz w:val="20"/>
                <w:szCs w:val="20"/>
              </w:rPr>
              <w:t>Score</w:t>
            </w:r>
          </w:p>
        </w:tc>
        <w:tc>
          <w:tcPr>
            <w:tcW w:w="2584" w:type="dxa"/>
            <w:vAlign w:val="center"/>
          </w:tcPr>
          <w:p w14:paraId="5AB19BCF" w14:textId="77777777" w:rsidR="00804B54" w:rsidRPr="00EE7081" w:rsidRDefault="00804B54" w:rsidP="00F132FF">
            <w:pPr>
              <w:keepLines/>
              <w:tabs>
                <w:tab w:val="left" w:pos="408"/>
              </w:tabs>
              <w:autoSpaceDE w:val="0"/>
              <w:autoSpaceDN w:val="0"/>
              <w:spacing w:line="293" w:lineRule="exact"/>
              <w:ind w:left="107"/>
              <w:jc w:val="center"/>
              <w:rPr>
                <w:b/>
                <w:bCs/>
                <w:sz w:val="20"/>
                <w:szCs w:val="20"/>
              </w:rPr>
            </w:pPr>
            <w:r w:rsidRPr="00EE7081">
              <w:rPr>
                <w:b/>
                <w:bCs/>
                <w:sz w:val="20"/>
                <w:szCs w:val="20"/>
              </w:rPr>
              <w:t>/</w:t>
            </w:r>
            <w:r>
              <w:rPr>
                <w:b/>
                <w:bCs/>
                <w:sz w:val="20"/>
                <w:szCs w:val="20"/>
              </w:rPr>
              <w:t>25</w:t>
            </w:r>
            <w:r w:rsidRPr="00EE7081">
              <w:rPr>
                <w:b/>
                <w:bCs/>
                <w:sz w:val="20"/>
                <w:szCs w:val="20"/>
              </w:rPr>
              <w:t xml:space="preserve"> points</w:t>
            </w:r>
          </w:p>
        </w:tc>
      </w:tr>
      <w:tr w:rsidR="00804B54" w:rsidRPr="00EE7081" w14:paraId="5463D180" w14:textId="77777777" w:rsidTr="00F132FF">
        <w:trPr>
          <w:cantSplit/>
        </w:trPr>
        <w:tc>
          <w:tcPr>
            <w:tcW w:w="10790" w:type="dxa"/>
            <w:gridSpan w:val="2"/>
          </w:tcPr>
          <w:p w14:paraId="78BA7320" w14:textId="77777777" w:rsidR="00804B54" w:rsidRPr="00EE7081" w:rsidRDefault="00804B54" w:rsidP="00F132FF">
            <w:pPr>
              <w:keepLines/>
              <w:tabs>
                <w:tab w:val="left" w:pos="408"/>
              </w:tabs>
              <w:autoSpaceDE w:val="0"/>
              <w:autoSpaceDN w:val="0"/>
              <w:spacing w:line="293" w:lineRule="exact"/>
              <w:ind w:left="107"/>
              <w:rPr>
                <w:w w:val="110"/>
                <w:sz w:val="20"/>
                <w:szCs w:val="20"/>
              </w:rPr>
            </w:pPr>
            <w:r w:rsidRPr="00EE7081">
              <w:rPr>
                <w:b/>
                <w:bCs/>
                <w:w w:val="110"/>
                <w:sz w:val="20"/>
                <w:szCs w:val="20"/>
              </w:rPr>
              <w:t>Comments:</w:t>
            </w:r>
            <w:r w:rsidRPr="00EE7081">
              <w:rPr>
                <w:w w:val="110"/>
                <w:sz w:val="20"/>
                <w:szCs w:val="20"/>
              </w:rPr>
              <w:t xml:space="preserve"> </w:t>
            </w:r>
          </w:p>
          <w:p w14:paraId="23DF9BAC" w14:textId="77777777" w:rsidR="00804B54" w:rsidRPr="00EE7081" w:rsidRDefault="00804B54" w:rsidP="00F132FF">
            <w:pPr>
              <w:keepLines/>
              <w:tabs>
                <w:tab w:val="left" w:pos="408"/>
              </w:tabs>
              <w:autoSpaceDE w:val="0"/>
              <w:autoSpaceDN w:val="0"/>
              <w:spacing w:line="293" w:lineRule="exact"/>
              <w:ind w:left="107"/>
              <w:jc w:val="center"/>
              <w:rPr>
                <w:sz w:val="20"/>
                <w:szCs w:val="20"/>
              </w:rPr>
            </w:pPr>
          </w:p>
        </w:tc>
      </w:tr>
    </w:tbl>
    <w:p w14:paraId="463BDE33" w14:textId="2EF0061B" w:rsidR="00804B54" w:rsidRDefault="00804B54" w:rsidP="00EA0734">
      <w:pPr>
        <w:keepLines/>
        <w:rPr>
          <w:rFonts w:eastAsiaTheme="minorHAnsi"/>
          <w:b/>
          <w:bCs/>
          <w:sz w:val="20"/>
          <w:szCs w:val="20"/>
        </w:rPr>
      </w:pPr>
    </w:p>
    <w:p w14:paraId="49271020" w14:textId="77777777" w:rsidR="00804B54" w:rsidRDefault="00804B54">
      <w:pPr>
        <w:rPr>
          <w:rFonts w:eastAsiaTheme="minorHAnsi"/>
          <w:b/>
          <w:bCs/>
          <w:sz w:val="20"/>
          <w:szCs w:val="20"/>
        </w:rPr>
      </w:pPr>
      <w:r>
        <w:rPr>
          <w:rFonts w:eastAsiaTheme="minorHAnsi"/>
          <w:b/>
          <w:bCs/>
          <w:sz w:val="20"/>
          <w:szCs w:val="20"/>
        </w:rPr>
        <w:br w:type="page"/>
      </w:r>
    </w:p>
    <w:tbl>
      <w:tblPr>
        <w:tblStyle w:val="TableGrid1"/>
        <w:tblW w:w="0" w:type="auto"/>
        <w:tblCellMar>
          <w:top w:w="115" w:type="dxa"/>
          <w:left w:w="115" w:type="dxa"/>
          <w:bottom w:w="115" w:type="dxa"/>
          <w:right w:w="115" w:type="dxa"/>
        </w:tblCellMar>
        <w:tblLook w:val="04A0" w:firstRow="1" w:lastRow="0" w:firstColumn="1" w:lastColumn="0" w:noHBand="0" w:noVBand="1"/>
      </w:tblPr>
      <w:tblGrid>
        <w:gridCol w:w="7080"/>
        <w:gridCol w:w="2270"/>
      </w:tblGrid>
      <w:tr w:rsidR="00804B54" w:rsidRPr="00EE7081" w14:paraId="76F132C4" w14:textId="77777777" w:rsidTr="00F132FF">
        <w:trPr>
          <w:cantSplit/>
          <w:trHeight w:val="377"/>
        </w:trPr>
        <w:tc>
          <w:tcPr>
            <w:tcW w:w="10790" w:type="dxa"/>
            <w:gridSpan w:val="2"/>
            <w:shd w:val="clear" w:color="auto" w:fill="17365D" w:themeFill="text2" w:themeFillShade="BF"/>
            <w:vAlign w:val="center"/>
          </w:tcPr>
          <w:p w14:paraId="01C8299E" w14:textId="46F11759" w:rsidR="00804B54" w:rsidRPr="00EE7081" w:rsidRDefault="00804B54" w:rsidP="00F132FF">
            <w:pPr>
              <w:keepLines/>
              <w:autoSpaceDE w:val="0"/>
              <w:autoSpaceDN w:val="0"/>
              <w:spacing w:line="299" w:lineRule="exact"/>
              <w:ind w:left="101"/>
              <w:jc w:val="center"/>
              <w:rPr>
                <w:b/>
                <w:bCs/>
              </w:rPr>
            </w:pPr>
            <w:r w:rsidRPr="00EE7081">
              <w:rPr>
                <w:b/>
                <w:bCs/>
              </w:rPr>
              <w:lastRenderedPageBreak/>
              <w:t xml:space="preserve">PART </w:t>
            </w:r>
            <w:r>
              <w:rPr>
                <w:b/>
                <w:bCs/>
              </w:rPr>
              <w:t>5: USE OF TECHNOLOGY</w:t>
            </w:r>
            <w:r w:rsidRPr="00EE7081">
              <w:rPr>
                <w:b/>
                <w:bCs/>
              </w:rPr>
              <w:t xml:space="preserve"> – </w:t>
            </w:r>
            <w:r>
              <w:rPr>
                <w:b/>
                <w:bCs/>
              </w:rPr>
              <w:t>25</w:t>
            </w:r>
            <w:r w:rsidRPr="00EE7081">
              <w:rPr>
                <w:b/>
                <w:bCs/>
              </w:rPr>
              <w:t xml:space="preserve"> points possible</w:t>
            </w:r>
          </w:p>
        </w:tc>
      </w:tr>
      <w:tr w:rsidR="00804B54" w:rsidRPr="00EE7081" w14:paraId="03D766A3" w14:textId="77777777" w:rsidTr="00F132FF">
        <w:trPr>
          <w:cantSplit/>
          <w:trHeight w:val="377"/>
        </w:trPr>
        <w:tc>
          <w:tcPr>
            <w:tcW w:w="10790" w:type="dxa"/>
            <w:gridSpan w:val="2"/>
            <w:shd w:val="clear" w:color="auto" w:fill="DBE5F1" w:themeFill="accent1" w:themeFillTint="33"/>
            <w:vAlign w:val="center"/>
          </w:tcPr>
          <w:p w14:paraId="1E357508" w14:textId="77777777" w:rsidR="00804B54" w:rsidRPr="00EE7081" w:rsidRDefault="00804B54" w:rsidP="00F132FF">
            <w:pPr>
              <w:keepLines/>
              <w:autoSpaceDE w:val="0"/>
              <w:autoSpaceDN w:val="0"/>
              <w:spacing w:line="299" w:lineRule="exact"/>
              <w:ind w:left="101"/>
              <w:rPr>
                <w:sz w:val="20"/>
                <w:szCs w:val="20"/>
              </w:rPr>
            </w:pPr>
            <w:r w:rsidRPr="00EE7081">
              <w:rPr>
                <w:bCs/>
                <w:sz w:val="20"/>
                <w:szCs w:val="20"/>
              </w:rPr>
              <w:t>Describe how the eligible provider’s activities effectively use technology, services, and delivery systems, including distance education in a manner sufficient to increase the amount and quality of learning and how such technology, services, and systems lead to improved performance. (See Consideration 7.)</w:t>
            </w:r>
          </w:p>
        </w:tc>
      </w:tr>
      <w:tr w:rsidR="00804B54" w:rsidRPr="00EE7081" w14:paraId="5EF1AE8F" w14:textId="77777777" w:rsidTr="00F132FF">
        <w:trPr>
          <w:cantSplit/>
          <w:trHeight w:val="377"/>
        </w:trPr>
        <w:tc>
          <w:tcPr>
            <w:tcW w:w="8206" w:type="dxa"/>
          </w:tcPr>
          <w:p w14:paraId="79892D90" w14:textId="3308AC45" w:rsidR="00804B54" w:rsidRPr="00EE7081" w:rsidRDefault="00255E93" w:rsidP="00F132FF">
            <w:pPr>
              <w:keepLines/>
              <w:autoSpaceDE w:val="0"/>
              <w:autoSpaceDN w:val="0"/>
              <w:spacing w:line="299" w:lineRule="exact"/>
              <w:ind w:left="107"/>
              <w:rPr>
                <w:sz w:val="20"/>
                <w:szCs w:val="20"/>
              </w:rPr>
            </w:pPr>
            <w:r>
              <w:rPr>
                <w:sz w:val="20"/>
                <w:szCs w:val="20"/>
              </w:rPr>
              <w:t>No</w:t>
            </w:r>
            <w:r w:rsidR="00804B54" w:rsidRPr="00EE7081">
              <w:rPr>
                <w:sz w:val="20"/>
                <w:szCs w:val="20"/>
              </w:rPr>
              <w:t xml:space="preserve"> or poor description of the program’s current or planned use of technology to facilitate service delivery. </w:t>
            </w:r>
          </w:p>
        </w:tc>
        <w:tc>
          <w:tcPr>
            <w:tcW w:w="2584" w:type="dxa"/>
            <w:vAlign w:val="center"/>
          </w:tcPr>
          <w:p w14:paraId="1EA5EFEA" w14:textId="77777777" w:rsidR="00804B54" w:rsidRPr="00EE7081" w:rsidRDefault="00804B54" w:rsidP="00F132FF">
            <w:pPr>
              <w:keepLines/>
              <w:autoSpaceDE w:val="0"/>
              <w:autoSpaceDN w:val="0"/>
              <w:spacing w:line="299" w:lineRule="exact"/>
              <w:ind w:left="107"/>
              <w:jc w:val="center"/>
              <w:rPr>
                <w:sz w:val="20"/>
                <w:szCs w:val="20"/>
              </w:rPr>
            </w:pPr>
            <w:r w:rsidRPr="00EE7081">
              <w:rPr>
                <w:sz w:val="20"/>
                <w:szCs w:val="20"/>
              </w:rPr>
              <w:t>0-</w:t>
            </w:r>
            <w:r>
              <w:rPr>
                <w:sz w:val="20"/>
                <w:szCs w:val="20"/>
              </w:rPr>
              <w:t>9</w:t>
            </w:r>
            <w:r w:rsidRPr="00EE7081">
              <w:rPr>
                <w:sz w:val="20"/>
                <w:szCs w:val="20"/>
              </w:rPr>
              <w:t xml:space="preserve"> points</w:t>
            </w:r>
          </w:p>
        </w:tc>
      </w:tr>
      <w:tr w:rsidR="00804B54" w:rsidRPr="00EE7081" w14:paraId="12428F8D" w14:textId="77777777" w:rsidTr="00F132FF">
        <w:trPr>
          <w:cantSplit/>
          <w:trHeight w:val="440"/>
        </w:trPr>
        <w:tc>
          <w:tcPr>
            <w:tcW w:w="8206" w:type="dxa"/>
          </w:tcPr>
          <w:p w14:paraId="78C299E2" w14:textId="77777777" w:rsidR="00804B54" w:rsidRPr="00EE7081" w:rsidRDefault="00804B54" w:rsidP="00F132FF">
            <w:pPr>
              <w:keepLines/>
              <w:autoSpaceDE w:val="0"/>
              <w:autoSpaceDN w:val="0"/>
              <w:spacing w:line="297" w:lineRule="exact"/>
              <w:ind w:left="107"/>
              <w:rPr>
                <w:sz w:val="20"/>
                <w:szCs w:val="20"/>
              </w:rPr>
            </w:pPr>
            <w:r w:rsidRPr="00EE7081">
              <w:rPr>
                <w:sz w:val="20"/>
                <w:szCs w:val="20"/>
              </w:rPr>
              <w:t>Brief or generic description of the program’s current or planned use of technology to facilitate service delivery. Describes various technology tools, including software/applications. Generally describes plans to provide distance education, but lacks specific details or evidence of effective current practices. Scope of distance education offerings and use of technology seems possibly not sufficient to meaningfully increase the amount and quality of learning.</w:t>
            </w:r>
          </w:p>
        </w:tc>
        <w:tc>
          <w:tcPr>
            <w:tcW w:w="2584" w:type="dxa"/>
            <w:vAlign w:val="center"/>
          </w:tcPr>
          <w:p w14:paraId="5C966F8E" w14:textId="77777777" w:rsidR="00804B54" w:rsidRPr="00EE7081" w:rsidRDefault="00804B54" w:rsidP="00F132FF">
            <w:pPr>
              <w:keepLines/>
              <w:autoSpaceDE w:val="0"/>
              <w:autoSpaceDN w:val="0"/>
              <w:spacing w:line="297" w:lineRule="exact"/>
              <w:ind w:left="107"/>
              <w:jc w:val="center"/>
              <w:rPr>
                <w:sz w:val="20"/>
                <w:szCs w:val="20"/>
              </w:rPr>
            </w:pPr>
            <w:r>
              <w:rPr>
                <w:sz w:val="20"/>
                <w:szCs w:val="20"/>
              </w:rPr>
              <w:t>10-19</w:t>
            </w:r>
            <w:r w:rsidRPr="00EE7081">
              <w:rPr>
                <w:sz w:val="20"/>
                <w:szCs w:val="20"/>
              </w:rPr>
              <w:t xml:space="preserve"> points</w:t>
            </w:r>
          </w:p>
        </w:tc>
      </w:tr>
      <w:tr w:rsidR="00804B54" w:rsidRPr="00EE7081" w14:paraId="582F1321" w14:textId="77777777" w:rsidTr="00F132FF">
        <w:trPr>
          <w:cantSplit/>
        </w:trPr>
        <w:tc>
          <w:tcPr>
            <w:tcW w:w="8206" w:type="dxa"/>
          </w:tcPr>
          <w:p w14:paraId="1E89DC75" w14:textId="372D9708" w:rsidR="00804B54" w:rsidRPr="00EE7081" w:rsidRDefault="00804B54" w:rsidP="00F132FF">
            <w:pPr>
              <w:keepLines/>
              <w:tabs>
                <w:tab w:val="left" w:pos="408"/>
              </w:tabs>
              <w:autoSpaceDE w:val="0"/>
              <w:autoSpaceDN w:val="0"/>
              <w:spacing w:line="293" w:lineRule="exact"/>
              <w:ind w:left="107"/>
              <w:rPr>
                <w:sz w:val="20"/>
                <w:szCs w:val="20"/>
              </w:rPr>
            </w:pPr>
            <w:r w:rsidRPr="00EE7081">
              <w:rPr>
                <w:sz w:val="20"/>
                <w:szCs w:val="20"/>
              </w:rPr>
              <w:t>Detailed description of the program’s current or planned use of technology to facilitate service delivery. Describes specific technology tools, including software/applications, and how they meet the varying needs of students. Details the plans to provide distance education, including evidence for how current distance education practices (and other use of technology) has improved student performance. Scope of distance education offerings and use of technology seems sufficient to meaningfully increase the amount and quality of learning.</w:t>
            </w:r>
            <w:r>
              <w:rPr>
                <w:sz w:val="20"/>
                <w:szCs w:val="20"/>
              </w:rPr>
              <w:t xml:space="preserve"> </w:t>
            </w:r>
            <w:r w:rsidR="00C30AB8">
              <w:rPr>
                <w:sz w:val="20"/>
                <w:szCs w:val="20"/>
              </w:rPr>
              <w:t>Describes how t</w:t>
            </w:r>
            <w:r w:rsidRPr="00EE7081">
              <w:rPr>
                <w:sz w:val="20"/>
                <w:szCs w:val="20"/>
              </w:rPr>
              <w:t xml:space="preserve">he program already has </w:t>
            </w:r>
            <w:r>
              <w:rPr>
                <w:sz w:val="20"/>
                <w:szCs w:val="20"/>
              </w:rPr>
              <w:t xml:space="preserve">several staff members </w:t>
            </w:r>
            <w:r w:rsidRPr="00EE7081">
              <w:rPr>
                <w:sz w:val="20"/>
                <w:szCs w:val="20"/>
              </w:rPr>
              <w:t xml:space="preserve">who are </w:t>
            </w:r>
            <w:r>
              <w:rPr>
                <w:sz w:val="20"/>
                <w:szCs w:val="20"/>
              </w:rPr>
              <w:t xml:space="preserve">skilled in digital literacy and use of virtual learning technologies (e.g., video conferencing, learning management systems, virtual assessments, etc.). </w:t>
            </w:r>
          </w:p>
        </w:tc>
        <w:tc>
          <w:tcPr>
            <w:tcW w:w="2584" w:type="dxa"/>
            <w:vAlign w:val="center"/>
          </w:tcPr>
          <w:p w14:paraId="29DB2BE1" w14:textId="77777777" w:rsidR="00804B54" w:rsidRPr="00EE7081" w:rsidRDefault="00804B54" w:rsidP="00F132FF">
            <w:pPr>
              <w:keepLines/>
              <w:tabs>
                <w:tab w:val="left" w:pos="408"/>
              </w:tabs>
              <w:autoSpaceDE w:val="0"/>
              <w:autoSpaceDN w:val="0"/>
              <w:spacing w:line="293" w:lineRule="exact"/>
              <w:ind w:left="107"/>
              <w:jc w:val="center"/>
              <w:rPr>
                <w:sz w:val="20"/>
                <w:szCs w:val="20"/>
              </w:rPr>
            </w:pPr>
            <w:r>
              <w:rPr>
                <w:sz w:val="20"/>
                <w:szCs w:val="20"/>
              </w:rPr>
              <w:t>20-30</w:t>
            </w:r>
            <w:r w:rsidRPr="00EE7081">
              <w:rPr>
                <w:sz w:val="20"/>
                <w:szCs w:val="20"/>
              </w:rPr>
              <w:t xml:space="preserve"> points</w:t>
            </w:r>
          </w:p>
        </w:tc>
      </w:tr>
      <w:tr w:rsidR="00804B54" w:rsidRPr="00EE7081" w14:paraId="56E1AECD" w14:textId="77777777" w:rsidTr="00F132FF">
        <w:trPr>
          <w:cantSplit/>
          <w:trHeight w:val="458"/>
        </w:trPr>
        <w:tc>
          <w:tcPr>
            <w:tcW w:w="8206" w:type="dxa"/>
            <w:vAlign w:val="center"/>
          </w:tcPr>
          <w:p w14:paraId="20FDC244" w14:textId="77777777" w:rsidR="00804B54" w:rsidRPr="00EE7081" w:rsidRDefault="00804B54" w:rsidP="00F132FF">
            <w:pPr>
              <w:keepLines/>
              <w:tabs>
                <w:tab w:val="left" w:pos="408"/>
              </w:tabs>
              <w:autoSpaceDE w:val="0"/>
              <w:autoSpaceDN w:val="0"/>
              <w:spacing w:line="293" w:lineRule="exact"/>
              <w:ind w:left="107"/>
              <w:jc w:val="right"/>
              <w:rPr>
                <w:b/>
                <w:bCs/>
                <w:w w:val="110"/>
                <w:sz w:val="20"/>
                <w:szCs w:val="20"/>
              </w:rPr>
            </w:pPr>
            <w:r w:rsidRPr="00EE7081">
              <w:rPr>
                <w:b/>
                <w:bCs/>
                <w:w w:val="110"/>
                <w:sz w:val="20"/>
                <w:szCs w:val="20"/>
              </w:rPr>
              <w:t>Score</w:t>
            </w:r>
          </w:p>
        </w:tc>
        <w:tc>
          <w:tcPr>
            <w:tcW w:w="2584" w:type="dxa"/>
            <w:vAlign w:val="center"/>
          </w:tcPr>
          <w:p w14:paraId="4212660C" w14:textId="77777777" w:rsidR="00804B54" w:rsidRPr="00EE7081" w:rsidRDefault="00804B54" w:rsidP="00F132FF">
            <w:pPr>
              <w:keepLines/>
              <w:tabs>
                <w:tab w:val="left" w:pos="408"/>
              </w:tabs>
              <w:autoSpaceDE w:val="0"/>
              <w:autoSpaceDN w:val="0"/>
              <w:spacing w:line="293" w:lineRule="exact"/>
              <w:ind w:left="107"/>
              <w:jc w:val="center"/>
              <w:rPr>
                <w:b/>
                <w:bCs/>
                <w:sz w:val="20"/>
                <w:szCs w:val="20"/>
              </w:rPr>
            </w:pPr>
            <w:r w:rsidRPr="00EE7081">
              <w:rPr>
                <w:b/>
                <w:bCs/>
                <w:sz w:val="20"/>
                <w:szCs w:val="20"/>
              </w:rPr>
              <w:t>/</w:t>
            </w:r>
            <w:r>
              <w:rPr>
                <w:b/>
                <w:bCs/>
                <w:sz w:val="20"/>
                <w:szCs w:val="20"/>
              </w:rPr>
              <w:t xml:space="preserve">25 </w:t>
            </w:r>
            <w:r w:rsidRPr="00EE7081">
              <w:rPr>
                <w:b/>
                <w:bCs/>
                <w:sz w:val="20"/>
                <w:szCs w:val="20"/>
              </w:rPr>
              <w:t>points</w:t>
            </w:r>
          </w:p>
        </w:tc>
      </w:tr>
      <w:tr w:rsidR="00804B54" w:rsidRPr="00EE7081" w14:paraId="59F009FF" w14:textId="77777777" w:rsidTr="00F132FF">
        <w:trPr>
          <w:cantSplit/>
        </w:trPr>
        <w:tc>
          <w:tcPr>
            <w:tcW w:w="10790" w:type="dxa"/>
            <w:gridSpan w:val="2"/>
          </w:tcPr>
          <w:p w14:paraId="2AFBE383" w14:textId="77777777" w:rsidR="00804B54" w:rsidRPr="00EE7081" w:rsidRDefault="00804B54" w:rsidP="00F132FF">
            <w:pPr>
              <w:keepLines/>
              <w:tabs>
                <w:tab w:val="left" w:pos="408"/>
              </w:tabs>
              <w:autoSpaceDE w:val="0"/>
              <w:autoSpaceDN w:val="0"/>
              <w:spacing w:line="293" w:lineRule="exact"/>
              <w:ind w:left="107"/>
              <w:rPr>
                <w:w w:val="110"/>
                <w:sz w:val="20"/>
                <w:szCs w:val="20"/>
              </w:rPr>
            </w:pPr>
            <w:r w:rsidRPr="00EE7081">
              <w:rPr>
                <w:b/>
                <w:bCs/>
                <w:w w:val="110"/>
                <w:sz w:val="20"/>
                <w:szCs w:val="20"/>
              </w:rPr>
              <w:t>Comments:</w:t>
            </w:r>
            <w:r w:rsidRPr="00EE7081">
              <w:rPr>
                <w:w w:val="110"/>
                <w:sz w:val="20"/>
                <w:szCs w:val="20"/>
              </w:rPr>
              <w:t xml:space="preserve"> </w:t>
            </w:r>
          </w:p>
          <w:p w14:paraId="1C53E7CB" w14:textId="77777777" w:rsidR="00804B54" w:rsidRPr="00EE7081" w:rsidRDefault="00804B54" w:rsidP="00F132FF">
            <w:pPr>
              <w:keepLines/>
              <w:tabs>
                <w:tab w:val="left" w:pos="408"/>
              </w:tabs>
              <w:autoSpaceDE w:val="0"/>
              <w:autoSpaceDN w:val="0"/>
              <w:spacing w:line="293" w:lineRule="exact"/>
              <w:ind w:left="107"/>
              <w:jc w:val="center"/>
              <w:rPr>
                <w:sz w:val="20"/>
                <w:szCs w:val="20"/>
              </w:rPr>
            </w:pPr>
          </w:p>
        </w:tc>
      </w:tr>
    </w:tbl>
    <w:p w14:paraId="3D5AE89A" w14:textId="19CAD4F1" w:rsidR="00804B54" w:rsidRDefault="00804B54" w:rsidP="00EA0734">
      <w:pPr>
        <w:keepLines/>
        <w:rPr>
          <w:rFonts w:eastAsiaTheme="minorHAnsi"/>
          <w:b/>
          <w:bCs/>
          <w:sz w:val="20"/>
          <w:szCs w:val="20"/>
        </w:rPr>
      </w:pPr>
    </w:p>
    <w:p w14:paraId="1557D062" w14:textId="77777777" w:rsidR="00804B54" w:rsidRDefault="00804B54">
      <w:pPr>
        <w:rPr>
          <w:rFonts w:eastAsiaTheme="minorHAnsi"/>
          <w:b/>
          <w:bCs/>
          <w:sz w:val="20"/>
          <w:szCs w:val="20"/>
        </w:rPr>
      </w:pPr>
      <w:r>
        <w:rPr>
          <w:rFonts w:eastAsiaTheme="minorHAnsi"/>
          <w:b/>
          <w:bCs/>
          <w:sz w:val="20"/>
          <w:szCs w:val="20"/>
        </w:rPr>
        <w:br w:type="page"/>
      </w:r>
    </w:p>
    <w:tbl>
      <w:tblPr>
        <w:tblStyle w:val="TableGrid1"/>
        <w:tblW w:w="0" w:type="auto"/>
        <w:tblCellMar>
          <w:top w:w="115" w:type="dxa"/>
          <w:left w:w="115" w:type="dxa"/>
          <w:bottom w:w="115" w:type="dxa"/>
          <w:right w:w="115" w:type="dxa"/>
        </w:tblCellMar>
        <w:tblLook w:val="04A0" w:firstRow="1" w:lastRow="0" w:firstColumn="1" w:lastColumn="0" w:noHBand="0" w:noVBand="1"/>
      </w:tblPr>
      <w:tblGrid>
        <w:gridCol w:w="7063"/>
        <w:gridCol w:w="2287"/>
      </w:tblGrid>
      <w:tr w:rsidR="00804B54" w:rsidRPr="00EE7081" w14:paraId="2B22D351" w14:textId="77777777" w:rsidTr="00DD20F9">
        <w:trPr>
          <w:cantSplit/>
          <w:trHeight w:val="377"/>
        </w:trPr>
        <w:tc>
          <w:tcPr>
            <w:tcW w:w="9350" w:type="dxa"/>
            <w:gridSpan w:val="2"/>
            <w:shd w:val="clear" w:color="auto" w:fill="17365D" w:themeFill="text2" w:themeFillShade="BF"/>
            <w:vAlign w:val="center"/>
          </w:tcPr>
          <w:p w14:paraId="639A224D" w14:textId="77777777" w:rsidR="00804B54" w:rsidRPr="00EE7081" w:rsidRDefault="00804B54" w:rsidP="00F132FF">
            <w:pPr>
              <w:keepLines/>
              <w:autoSpaceDE w:val="0"/>
              <w:autoSpaceDN w:val="0"/>
              <w:spacing w:line="299" w:lineRule="exact"/>
              <w:ind w:left="101"/>
              <w:jc w:val="center"/>
              <w:rPr>
                <w:b/>
                <w:bCs/>
              </w:rPr>
            </w:pPr>
            <w:r w:rsidRPr="00EE7081">
              <w:rPr>
                <w:b/>
                <w:bCs/>
              </w:rPr>
              <w:lastRenderedPageBreak/>
              <w:t>PART 6</w:t>
            </w:r>
            <w:r>
              <w:rPr>
                <w:b/>
                <w:bCs/>
              </w:rPr>
              <w:t xml:space="preserve">: ACCOMMODATING STUDENT NEEDS </w:t>
            </w:r>
            <w:r w:rsidRPr="00EE7081">
              <w:rPr>
                <w:b/>
                <w:bCs/>
              </w:rPr>
              <w:t xml:space="preserve">– </w:t>
            </w:r>
            <w:r>
              <w:rPr>
                <w:b/>
                <w:bCs/>
              </w:rPr>
              <w:t>25</w:t>
            </w:r>
            <w:r w:rsidRPr="00EE7081">
              <w:rPr>
                <w:b/>
                <w:bCs/>
              </w:rPr>
              <w:t xml:space="preserve"> points possible</w:t>
            </w:r>
          </w:p>
        </w:tc>
      </w:tr>
      <w:tr w:rsidR="00804B54" w:rsidRPr="00EE7081" w14:paraId="62616869" w14:textId="77777777" w:rsidTr="00DD20F9">
        <w:trPr>
          <w:cantSplit/>
          <w:trHeight w:val="377"/>
        </w:trPr>
        <w:tc>
          <w:tcPr>
            <w:tcW w:w="9350" w:type="dxa"/>
            <w:gridSpan w:val="2"/>
            <w:shd w:val="clear" w:color="auto" w:fill="DBE5F1" w:themeFill="accent1" w:themeFillTint="33"/>
            <w:vAlign w:val="center"/>
          </w:tcPr>
          <w:p w14:paraId="7211A11D" w14:textId="77777777" w:rsidR="00804B54" w:rsidRPr="00EE7081" w:rsidRDefault="00804B54" w:rsidP="00F132FF">
            <w:pPr>
              <w:keepLines/>
              <w:autoSpaceDE w:val="0"/>
              <w:autoSpaceDN w:val="0"/>
              <w:spacing w:line="299" w:lineRule="exact"/>
              <w:ind w:left="101"/>
              <w:rPr>
                <w:color w:val="000000"/>
                <w:sz w:val="20"/>
                <w:szCs w:val="20"/>
              </w:rPr>
            </w:pPr>
            <w:r w:rsidRPr="00EE7081">
              <w:rPr>
                <w:color w:val="000000"/>
                <w:sz w:val="20"/>
                <w:szCs w:val="20"/>
              </w:rPr>
              <w:t xml:space="preserve">Describe how the eligible provider will provide services in a manner that meets the needs of eligible individuals. (See Required Information 6.) </w:t>
            </w:r>
          </w:p>
          <w:p w14:paraId="295EDBCF" w14:textId="77777777" w:rsidR="00804B54" w:rsidRPr="00EE7081" w:rsidRDefault="00804B54" w:rsidP="00F132FF">
            <w:pPr>
              <w:keepLines/>
              <w:autoSpaceDE w:val="0"/>
              <w:autoSpaceDN w:val="0"/>
              <w:spacing w:line="299" w:lineRule="exact"/>
              <w:ind w:left="101"/>
              <w:rPr>
                <w:color w:val="000000"/>
                <w:sz w:val="20"/>
                <w:szCs w:val="20"/>
              </w:rPr>
            </w:pPr>
          </w:p>
          <w:p w14:paraId="37235ADC" w14:textId="1E394891" w:rsidR="00804B54" w:rsidRPr="00EE7081" w:rsidRDefault="00804B54" w:rsidP="00F132FF">
            <w:pPr>
              <w:keepLines/>
              <w:autoSpaceDE w:val="0"/>
              <w:autoSpaceDN w:val="0"/>
              <w:spacing w:line="299" w:lineRule="exact"/>
              <w:ind w:left="101"/>
              <w:rPr>
                <w:sz w:val="20"/>
                <w:szCs w:val="20"/>
              </w:rPr>
            </w:pPr>
            <w:r w:rsidRPr="00EE7081">
              <w:rPr>
                <w:color w:val="000000"/>
                <w:sz w:val="20"/>
                <w:szCs w:val="20"/>
              </w:rPr>
              <w:t xml:space="preserve">Also address whether the eligible provider’s activities offer flexible schedules and coordination with Federal, State, and local support services (such as </w:t>
            </w:r>
            <w:r w:rsidR="008C4158" w:rsidRPr="00EE7081">
              <w:rPr>
                <w:color w:val="000000"/>
                <w:sz w:val="20"/>
                <w:szCs w:val="20"/>
              </w:rPr>
              <w:t>childcare</w:t>
            </w:r>
            <w:r w:rsidRPr="00EE7081">
              <w:rPr>
                <w:color w:val="000000"/>
                <w:sz w:val="20"/>
                <w:szCs w:val="20"/>
              </w:rPr>
              <w:t>, transportation, mental health services, and career planning) that are necessary to enable individuals, including individuals with disabilities or other special needs, to attend and complete programs. (See Consideration 11.)</w:t>
            </w:r>
          </w:p>
        </w:tc>
      </w:tr>
      <w:tr w:rsidR="00DD20F9" w:rsidRPr="00EE7081" w14:paraId="7AEFCC65" w14:textId="77777777" w:rsidTr="00DD20F9">
        <w:trPr>
          <w:cantSplit/>
          <w:trHeight w:val="377"/>
        </w:trPr>
        <w:tc>
          <w:tcPr>
            <w:tcW w:w="7063" w:type="dxa"/>
          </w:tcPr>
          <w:p w14:paraId="4DEF70B7" w14:textId="0C5E0675" w:rsidR="00DD20F9" w:rsidRPr="00EE7081" w:rsidRDefault="004154CE" w:rsidP="00DD20F9">
            <w:pPr>
              <w:keepLines/>
              <w:autoSpaceDE w:val="0"/>
              <w:autoSpaceDN w:val="0"/>
              <w:spacing w:line="299" w:lineRule="exact"/>
              <w:ind w:left="107"/>
              <w:rPr>
                <w:sz w:val="20"/>
                <w:szCs w:val="20"/>
              </w:rPr>
            </w:pPr>
            <w:r>
              <w:rPr>
                <w:sz w:val="20"/>
                <w:szCs w:val="20"/>
              </w:rPr>
              <w:t>No</w:t>
            </w:r>
            <w:r w:rsidR="00DD20F9" w:rsidRPr="00EE7081">
              <w:rPr>
                <w:sz w:val="20"/>
                <w:szCs w:val="20"/>
              </w:rPr>
              <w:t xml:space="preserve"> or poor description of how the program currently accommodates or plans to accommodate the non-academic needs of students (e.g., flexible schedule, multiple location options, coordination with wraparound services, etc.). Addresses primarily hypotheticals and not already-established practices.</w:t>
            </w:r>
          </w:p>
        </w:tc>
        <w:tc>
          <w:tcPr>
            <w:tcW w:w="2287" w:type="dxa"/>
            <w:vAlign w:val="center"/>
          </w:tcPr>
          <w:p w14:paraId="75C3FDE2" w14:textId="77777777" w:rsidR="00DD20F9" w:rsidRPr="00EE7081" w:rsidRDefault="00DD20F9" w:rsidP="00DD20F9">
            <w:pPr>
              <w:keepLines/>
              <w:autoSpaceDE w:val="0"/>
              <w:autoSpaceDN w:val="0"/>
              <w:spacing w:line="299" w:lineRule="exact"/>
              <w:ind w:left="107"/>
              <w:jc w:val="center"/>
              <w:rPr>
                <w:sz w:val="20"/>
                <w:szCs w:val="20"/>
              </w:rPr>
            </w:pPr>
            <w:r>
              <w:rPr>
                <w:sz w:val="20"/>
                <w:szCs w:val="20"/>
              </w:rPr>
              <w:t>0-7</w:t>
            </w:r>
            <w:r w:rsidRPr="00EE7081">
              <w:rPr>
                <w:sz w:val="20"/>
                <w:szCs w:val="20"/>
              </w:rPr>
              <w:t xml:space="preserve"> points</w:t>
            </w:r>
          </w:p>
        </w:tc>
      </w:tr>
      <w:tr w:rsidR="00D03433" w:rsidRPr="00EE7081" w14:paraId="4C69A7AC" w14:textId="77777777" w:rsidTr="00DD20F9">
        <w:trPr>
          <w:cantSplit/>
          <w:trHeight w:val="440"/>
        </w:trPr>
        <w:tc>
          <w:tcPr>
            <w:tcW w:w="7063" w:type="dxa"/>
          </w:tcPr>
          <w:p w14:paraId="5C81444A" w14:textId="564C045E" w:rsidR="00D03433" w:rsidRPr="00EE7081" w:rsidRDefault="00D03433" w:rsidP="00D03433">
            <w:pPr>
              <w:keepLines/>
              <w:autoSpaceDE w:val="0"/>
              <w:autoSpaceDN w:val="0"/>
              <w:spacing w:line="297" w:lineRule="exact"/>
              <w:ind w:left="107"/>
              <w:rPr>
                <w:sz w:val="20"/>
                <w:szCs w:val="20"/>
              </w:rPr>
            </w:pPr>
            <w:r w:rsidRPr="00EE7081">
              <w:rPr>
                <w:sz w:val="20"/>
                <w:szCs w:val="20"/>
              </w:rPr>
              <w:t>Brief or generic description of how the program currently accommodates or plans to accommodate the non-academic needs of students</w:t>
            </w:r>
            <w:r>
              <w:rPr>
                <w:sz w:val="20"/>
                <w:szCs w:val="20"/>
              </w:rPr>
              <w:t xml:space="preserve">. Generically describes supportive service </w:t>
            </w:r>
            <w:r w:rsidRPr="00EE7081">
              <w:rPr>
                <w:sz w:val="20"/>
                <w:szCs w:val="20"/>
              </w:rPr>
              <w:t xml:space="preserve">options </w:t>
            </w:r>
            <w:r>
              <w:rPr>
                <w:sz w:val="20"/>
                <w:szCs w:val="20"/>
              </w:rPr>
              <w:t xml:space="preserve">and class location/schedule options </w:t>
            </w:r>
            <w:r w:rsidRPr="00EE7081">
              <w:rPr>
                <w:sz w:val="20"/>
                <w:szCs w:val="20"/>
              </w:rPr>
              <w:t xml:space="preserve">for students, but there is a lack in some </w:t>
            </w:r>
            <w:r>
              <w:rPr>
                <w:sz w:val="20"/>
                <w:szCs w:val="20"/>
              </w:rPr>
              <w:t>of these areas.</w:t>
            </w:r>
          </w:p>
        </w:tc>
        <w:tc>
          <w:tcPr>
            <w:tcW w:w="2287" w:type="dxa"/>
            <w:vAlign w:val="center"/>
          </w:tcPr>
          <w:p w14:paraId="66259FA0" w14:textId="77777777" w:rsidR="00D03433" w:rsidRPr="00EE7081" w:rsidRDefault="00D03433" w:rsidP="00D03433">
            <w:pPr>
              <w:keepLines/>
              <w:autoSpaceDE w:val="0"/>
              <w:autoSpaceDN w:val="0"/>
              <w:spacing w:line="297" w:lineRule="exact"/>
              <w:ind w:left="107"/>
              <w:jc w:val="center"/>
              <w:rPr>
                <w:sz w:val="20"/>
                <w:szCs w:val="20"/>
              </w:rPr>
            </w:pPr>
            <w:r>
              <w:rPr>
                <w:sz w:val="20"/>
                <w:szCs w:val="20"/>
              </w:rPr>
              <w:t>8-16</w:t>
            </w:r>
            <w:r w:rsidRPr="00EE7081">
              <w:rPr>
                <w:sz w:val="20"/>
                <w:szCs w:val="20"/>
              </w:rPr>
              <w:t xml:space="preserve"> points</w:t>
            </w:r>
          </w:p>
        </w:tc>
      </w:tr>
      <w:tr w:rsidR="002A0901" w:rsidRPr="00EE7081" w14:paraId="333D03A4" w14:textId="77777777" w:rsidTr="00DD20F9">
        <w:trPr>
          <w:cantSplit/>
        </w:trPr>
        <w:tc>
          <w:tcPr>
            <w:tcW w:w="7063" w:type="dxa"/>
          </w:tcPr>
          <w:p w14:paraId="0C525691" w14:textId="4A012328" w:rsidR="002A0901" w:rsidRPr="00EE7081" w:rsidRDefault="002A0901" w:rsidP="002A0901">
            <w:pPr>
              <w:keepLines/>
              <w:tabs>
                <w:tab w:val="left" w:pos="408"/>
              </w:tabs>
              <w:autoSpaceDE w:val="0"/>
              <w:autoSpaceDN w:val="0"/>
              <w:spacing w:line="293" w:lineRule="exact"/>
              <w:ind w:left="107"/>
              <w:rPr>
                <w:sz w:val="20"/>
                <w:szCs w:val="20"/>
              </w:rPr>
            </w:pPr>
            <w:r w:rsidRPr="00EE7081">
              <w:rPr>
                <w:sz w:val="20"/>
                <w:szCs w:val="20"/>
              </w:rPr>
              <w:t>Detailed description of how the program currently accommodates or plans to accommodate the non-academic needs of students</w:t>
            </w:r>
            <w:r>
              <w:rPr>
                <w:sz w:val="20"/>
                <w:szCs w:val="20"/>
              </w:rPr>
              <w:t>.</w:t>
            </w:r>
            <w:r w:rsidRPr="00EE7081">
              <w:rPr>
                <w:sz w:val="20"/>
                <w:szCs w:val="20"/>
              </w:rPr>
              <w:t xml:space="preserve"> Plans are not just hypothetical but have already been coordinated with other stakeholders to some degree. </w:t>
            </w:r>
            <w:r>
              <w:rPr>
                <w:sz w:val="20"/>
                <w:szCs w:val="20"/>
              </w:rPr>
              <w:t xml:space="preserve">Describes a robust process for how staff help students to access supportive services. </w:t>
            </w:r>
            <w:r w:rsidRPr="00EE7081">
              <w:rPr>
                <w:sz w:val="20"/>
                <w:szCs w:val="20"/>
              </w:rPr>
              <w:t xml:space="preserve">There are </w:t>
            </w:r>
            <w:r>
              <w:rPr>
                <w:sz w:val="20"/>
                <w:szCs w:val="20"/>
              </w:rPr>
              <w:t>multiple class location/schedule options for students (e.g., evenings and weekends, several locations within a county, etc.). Classes are located to optimize accessibility.</w:t>
            </w:r>
          </w:p>
        </w:tc>
        <w:tc>
          <w:tcPr>
            <w:tcW w:w="2287" w:type="dxa"/>
            <w:vAlign w:val="center"/>
          </w:tcPr>
          <w:p w14:paraId="4DCFAD6D" w14:textId="77777777" w:rsidR="002A0901" w:rsidRPr="00EE7081" w:rsidRDefault="002A0901" w:rsidP="002A0901">
            <w:pPr>
              <w:keepLines/>
              <w:tabs>
                <w:tab w:val="left" w:pos="408"/>
              </w:tabs>
              <w:autoSpaceDE w:val="0"/>
              <w:autoSpaceDN w:val="0"/>
              <w:spacing w:line="293" w:lineRule="exact"/>
              <w:ind w:left="107"/>
              <w:jc w:val="center"/>
              <w:rPr>
                <w:sz w:val="20"/>
                <w:szCs w:val="20"/>
              </w:rPr>
            </w:pPr>
            <w:r>
              <w:rPr>
                <w:sz w:val="20"/>
                <w:szCs w:val="20"/>
              </w:rPr>
              <w:t>17-25</w:t>
            </w:r>
            <w:r w:rsidRPr="00EE7081">
              <w:rPr>
                <w:sz w:val="20"/>
                <w:szCs w:val="20"/>
              </w:rPr>
              <w:t xml:space="preserve"> points</w:t>
            </w:r>
          </w:p>
        </w:tc>
      </w:tr>
      <w:tr w:rsidR="00804B54" w:rsidRPr="00EE7081" w14:paraId="6631D8CF" w14:textId="77777777" w:rsidTr="00DD20F9">
        <w:trPr>
          <w:cantSplit/>
          <w:trHeight w:val="458"/>
        </w:trPr>
        <w:tc>
          <w:tcPr>
            <w:tcW w:w="7063" w:type="dxa"/>
            <w:vAlign w:val="center"/>
          </w:tcPr>
          <w:p w14:paraId="46C18AA3" w14:textId="77777777" w:rsidR="00804B54" w:rsidRPr="00EE7081" w:rsidRDefault="00804B54" w:rsidP="00F132FF">
            <w:pPr>
              <w:keepLines/>
              <w:tabs>
                <w:tab w:val="left" w:pos="408"/>
              </w:tabs>
              <w:autoSpaceDE w:val="0"/>
              <w:autoSpaceDN w:val="0"/>
              <w:spacing w:line="293" w:lineRule="exact"/>
              <w:ind w:left="107"/>
              <w:jc w:val="right"/>
              <w:rPr>
                <w:b/>
                <w:bCs/>
                <w:w w:val="110"/>
                <w:sz w:val="20"/>
                <w:szCs w:val="20"/>
              </w:rPr>
            </w:pPr>
            <w:r w:rsidRPr="00EE7081">
              <w:rPr>
                <w:b/>
                <w:bCs/>
                <w:w w:val="110"/>
                <w:sz w:val="20"/>
                <w:szCs w:val="20"/>
              </w:rPr>
              <w:t>Score</w:t>
            </w:r>
          </w:p>
        </w:tc>
        <w:tc>
          <w:tcPr>
            <w:tcW w:w="2287" w:type="dxa"/>
            <w:vAlign w:val="center"/>
          </w:tcPr>
          <w:p w14:paraId="09F063D0" w14:textId="77777777" w:rsidR="00804B54" w:rsidRPr="00EE7081" w:rsidRDefault="00804B54" w:rsidP="00F132FF">
            <w:pPr>
              <w:keepLines/>
              <w:tabs>
                <w:tab w:val="left" w:pos="408"/>
              </w:tabs>
              <w:autoSpaceDE w:val="0"/>
              <w:autoSpaceDN w:val="0"/>
              <w:spacing w:line="293" w:lineRule="exact"/>
              <w:ind w:left="107"/>
              <w:jc w:val="center"/>
              <w:rPr>
                <w:b/>
                <w:bCs/>
                <w:sz w:val="20"/>
                <w:szCs w:val="20"/>
              </w:rPr>
            </w:pPr>
            <w:r w:rsidRPr="00EE7081">
              <w:rPr>
                <w:b/>
                <w:bCs/>
                <w:sz w:val="20"/>
                <w:szCs w:val="20"/>
              </w:rPr>
              <w:t>/</w:t>
            </w:r>
            <w:r>
              <w:rPr>
                <w:b/>
                <w:bCs/>
                <w:sz w:val="20"/>
                <w:szCs w:val="20"/>
              </w:rPr>
              <w:t>25</w:t>
            </w:r>
            <w:r w:rsidRPr="00EE7081">
              <w:rPr>
                <w:b/>
                <w:bCs/>
                <w:sz w:val="20"/>
                <w:szCs w:val="20"/>
              </w:rPr>
              <w:t xml:space="preserve"> points</w:t>
            </w:r>
          </w:p>
        </w:tc>
      </w:tr>
      <w:tr w:rsidR="00804B54" w:rsidRPr="00EE7081" w14:paraId="20A3D14D" w14:textId="77777777" w:rsidTr="00DD20F9">
        <w:trPr>
          <w:cantSplit/>
        </w:trPr>
        <w:tc>
          <w:tcPr>
            <w:tcW w:w="9350" w:type="dxa"/>
            <w:gridSpan w:val="2"/>
          </w:tcPr>
          <w:p w14:paraId="21576A86" w14:textId="77777777" w:rsidR="00804B54" w:rsidRPr="00EE7081" w:rsidRDefault="00804B54" w:rsidP="00F132FF">
            <w:pPr>
              <w:keepLines/>
              <w:tabs>
                <w:tab w:val="left" w:pos="408"/>
              </w:tabs>
              <w:autoSpaceDE w:val="0"/>
              <w:autoSpaceDN w:val="0"/>
              <w:spacing w:line="293" w:lineRule="exact"/>
              <w:ind w:left="107"/>
              <w:rPr>
                <w:w w:val="110"/>
                <w:sz w:val="20"/>
                <w:szCs w:val="20"/>
              </w:rPr>
            </w:pPr>
            <w:r w:rsidRPr="00EE7081">
              <w:rPr>
                <w:b/>
                <w:bCs/>
                <w:w w:val="110"/>
                <w:sz w:val="20"/>
                <w:szCs w:val="20"/>
              </w:rPr>
              <w:t>Comments:</w:t>
            </w:r>
            <w:r w:rsidRPr="00EE7081">
              <w:rPr>
                <w:w w:val="110"/>
                <w:sz w:val="20"/>
                <w:szCs w:val="20"/>
              </w:rPr>
              <w:t xml:space="preserve"> </w:t>
            </w:r>
          </w:p>
          <w:p w14:paraId="319E4AAE" w14:textId="77777777" w:rsidR="00804B54" w:rsidRPr="00EE7081" w:rsidRDefault="00804B54" w:rsidP="00F132FF">
            <w:pPr>
              <w:keepLines/>
              <w:tabs>
                <w:tab w:val="left" w:pos="408"/>
              </w:tabs>
              <w:autoSpaceDE w:val="0"/>
              <w:autoSpaceDN w:val="0"/>
              <w:spacing w:line="293" w:lineRule="exact"/>
              <w:ind w:left="107"/>
              <w:jc w:val="center"/>
              <w:rPr>
                <w:sz w:val="20"/>
                <w:szCs w:val="20"/>
              </w:rPr>
            </w:pPr>
          </w:p>
        </w:tc>
      </w:tr>
    </w:tbl>
    <w:p w14:paraId="35A3E5F0" w14:textId="50E816C3" w:rsidR="00804B54" w:rsidRDefault="00804B54" w:rsidP="00EA0734">
      <w:pPr>
        <w:keepLines/>
        <w:rPr>
          <w:rFonts w:eastAsiaTheme="minorHAnsi"/>
          <w:b/>
          <w:bCs/>
          <w:sz w:val="20"/>
          <w:szCs w:val="20"/>
        </w:rPr>
      </w:pPr>
    </w:p>
    <w:p w14:paraId="72BE2030" w14:textId="77777777" w:rsidR="00804B54" w:rsidRDefault="00804B54">
      <w:pPr>
        <w:rPr>
          <w:rFonts w:eastAsiaTheme="minorHAnsi"/>
          <w:b/>
          <w:bCs/>
          <w:sz w:val="20"/>
          <w:szCs w:val="20"/>
        </w:rPr>
      </w:pPr>
      <w:r>
        <w:rPr>
          <w:rFonts w:eastAsiaTheme="minorHAnsi"/>
          <w:b/>
          <w:bCs/>
          <w:sz w:val="20"/>
          <w:szCs w:val="20"/>
        </w:rPr>
        <w:br w:type="page"/>
      </w:r>
    </w:p>
    <w:tbl>
      <w:tblPr>
        <w:tblStyle w:val="TableGrid1"/>
        <w:tblW w:w="0" w:type="auto"/>
        <w:tblCellMar>
          <w:top w:w="115" w:type="dxa"/>
          <w:left w:w="115" w:type="dxa"/>
          <w:bottom w:w="115" w:type="dxa"/>
          <w:right w:w="115" w:type="dxa"/>
        </w:tblCellMar>
        <w:tblLook w:val="04A0" w:firstRow="1" w:lastRow="0" w:firstColumn="1" w:lastColumn="0" w:noHBand="0" w:noVBand="1"/>
      </w:tblPr>
      <w:tblGrid>
        <w:gridCol w:w="7051"/>
        <w:gridCol w:w="2299"/>
      </w:tblGrid>
      <w:tr w:rsidR="00804B54" w:rsidRPr="00EE7081" w14:paraId="33DD34B9" w14:textId="77777777" w:rsidTr="009F2997">
        <w:trPr>
          <w:cantSplit/>
          <w:trHeight w:val="377"/>
        </w:trPr>
        <w:tc>
          <w:tcPr>
            <w:tcW w:w="9350" w:type="dxa"/>
            <w:gridSpan w:val="2"/>
            <w:shd w:val="clear" w:color="auto" w:fill="17365D" w:themeFill="text2" w:themeFillShade="BF"/>
            <w:vAlign w:val="center"/>
          </w:tcPr>
          <w:p w14:paraId="6BB9040C" w14:textId="230D38D9" w:rsidR="00804B54" w:rsidRPr="00EE7081" w:rsidRDefault="00804B54" w:rsidP="00F132FF">
            <w:pPr>
              <w:keepLines/>
              <w:autoSpaceDE w:val="0"/>
              <w:autoSpaceDN w:val="0"/>
              <w:spacing w:line="299" w:lineRule="exact"/>
              <w:ind w:left="101"/>
              <w:jc w:val="center"/>
              <w:rPr>
                <w:b/>
                <w:bCs/>
              </w:rPr>
            </w:pPr>
            <w:r w:rsidRPr="00EE7081">
              <w:rPr>
                <w:b/>
                <w:bCs/>
              </w:rPr>
              <w:lastRenderedPageBreak/>
              <w:t xml:space="preserve">PART </w:t>
            </w:r>
            <w:r>
              <w:rPr>
                <w:b/>
                <w:bCs/>
              </w:rPr>
              <w:t>7: HIGH-QUALITY STAFF</w:t>
            </w:r>
            <w:r w:rsidRPr="00EE7081">
              <w:rPr>
                <w:b/>
                <w:bCs/>
              </w:rPr>
              <w:t xml:space="preserve"> – </w:t>
            </w:r>
            <w:r>
              <w:rPr>
                <w:b/>
                <w:bCs/>
              </w:rPr>
              <w:t>25</w:t>
            </w:r>
            <w:r w:rsidRPr="00EE7081">
              <w:rPr>
                <w:b/>
                <w:bCs/>
              </w:rPr>
              <w:t xml:space="preserve"> points possible</w:t>
            </w:r>
          </w:p>
        </w:tc>
      </w:tr>
      <w:tr w:rsidR="00804B54" w:rsidRPr="00EE7081" w14:paraId="53341315" w14:textId="77777777" w:rsidTr="009F2997">
        <w:trPr>
          <w:cantSplit/>
          <w:trHeight w:val="377"/>
        </w:trPr>
        <w:tc>
          <w:tcPr>
            <w:tcW w:w="9350" w:type="dxa"/>
            <w:gridSpan w:val="2"/>
            <w:shd w:val="clear" w:color="auto" w:fill="DBE5F1" w:themeFill="accent1" w:themeFillTint="33"/>
            <w:vAlign w:val="center"/>
          </w:tcPr>
          <w:p w14:paraId="483C7A7E" w14:textId="77777777" w:rsidR="00804B54" w:rsidRPr="00EE7081" w:rsidRDefault="00804B54" w:rsidP="00F132FF">
            <w:pPr>
              <w:keepLines/>
              <w:autoSpaceDE w:val="0"/>
              <w:autoSpaceDN w:val="0"/>
              <w:spacing w:line="299" w:lineRule="exact"/>
              <w:ind w:left="101"/>
              <w:rPr>
                <w:sz w:val="20"/>
                <w:szCs w:val="20"/>
              </w:rPr>
            </w:pPr>
            <w:r w:rsidRPr="00EE7081">
              <w:rPr>
                <w:bCs/>
                <w:sz w:val="20"/>
                <w:szCs w:val="20"/>
              </w:rPr>
              <w:t>Describe how the eligible provider’s activities are delivered by well-trained instructors, counselors, and administrators who meet any minimum qualifications established by the State, where applicable, and who have access to high quality professional development, including through electronic means. (See Consideration 9.)</w:t>
            </w:r>
          </w:p>
        </w:tc>
      </w:tr>
      <w:tr w:rsidR="00804B54" w:rsidRPr="00EE7081" w14:paraId="25FE0678" w14:textId="77777777" w:rsidTr="009F2997">
        <w:trPr>
          <w:cantSplit/>
          <w:trHeight w:val="377"/>
        </w:trPr>
        <w:tc>
          <w:tcPr>
            <w:tcW w:w="7051" w:type="dxa"/>
          </w:tcPr>
          <w:p w14:paraId="0FCCE845" w14:textId="629CEF90" w:rsidR="00804B54" w:rsidRPr="00EE7081" w:rsidRDefault="00A87CAE" w:rsidP="00F132FF">
            <w:pPr>
              <w:keepLines/>
              <w:autoSpaceDE w:val="0"/>
              <w:autoSpaceDN w:val="0"/>
              <w:spacing w:line="299" w:lineRule="exact"/>
              <w:ind w:left="107"/>
              <w:rPr>
                <w:sz w:val="20"/>
                <w:szCs w:val="20"/>
              </w:rPr>
            </w:pPr>
            <w:r>
              <w:rPr>
                <w:sz w:val="20"/>
                <w:szCs w:val="20"/>
              </w:rPr>
              <w:t>No</w:t>
            </w:r>
            <w:r w:rsidR="00804B54" w:rsidRPr="00EE7081">
              <w:rPr>
                <w:sz w:val="20"/>
                <w:szCs w:val="20"/>
              </w:rPr>
              <w:t xml:space="preserve"> or poor description of current or planned Adult Education staff. Teachers do not have good qualifications and do not have educator licenses</w:t>
            </w:r>
            <w:r w:rsidR="00D41A9D">
              <w:rPr>
                <w:sz w:val="20"/>
                <w:szCs w:val="20"/>
              </w:rPr>
              <w:t xml:space="preserve"> or certifications</w:t>
            </w:r>
            <w:r w:rsidR="00804B54" w:rsidRPr="00EE7081">
              <w:rPr>
                <w:sz w:val="20"/>
                <w:szCs w:val="20"/>
              </w:rPr>
              <w:t xml:space="preserve">. </w:t>
            </w:r>
          </w:p>
        </w:tc>
        <w:tc>
          <w:tcPr>
            <w:tcW w:w="2299" w:type="dxa"/>
            <w:vAlign w:val="center"/>
          </w:tcPr>
          <w:p w14:paraId="42F75829" w14:textId="77777777" w:rsidR="00804B54" w:rsidRPr="00EE7081" w:rsidRDefault="00804B54" w:rsidP="00F132FF">
            <w:pPr>
              <w:keepLines/>
              <w:autoSpaceDE w:val="0"/>
              <w:autoSpaceDN w:val="0"/>
              <w:spacing w:line="299" w:lineRule="exact"/>
              <w:ind w:left="107"/>
              <w:jc w:val="center"/>
              <w:rPr>
                <w:sz w:val="20"/>
                <w:szCs w:val="20"/>
              </w:rPr>
            </w:pPr>
            <w:r w:rsidRPr="00EE7081">
              <w:rPr>
                <w:sz w:val="20"/>
                <w:szCs w:val="20"/>
              </w:rPr>
              <w:t>0-</w:t>
            </w:r>
            <w:r>
              <w:rPr>
                <w:sz w:val="20"/>
                <w:szCs w:val="20"/>
              </w:rPr>
              <w:t>7</w:t>
            </w:r>
            <w:r w:rsidRPr="00EE7081">
              <w:rPr>
                <w:sz w:val="20"/>
                <w:szCs w:val="20"/>
              </w:rPr>
              <w:t xml:space="preserve"> points</w:t>
            </w:r>
          </w:p>
        </w:tc>
      </w:tr>
      <w:tr w:rsidR="009F2997" w:rsidRPr="00EE7081" w14:paraId="5E73B7DA" w14:textId="77777777" w:rsidTr="009F2997">
        <w:trPr>
          <w:cantSplit/>
          <w:trHeight w:val="440"/>
        </w:trPr>
        <w:tc>
          <w:tcPr>
            <w:tcW w:w="7051" w:type="dxa"/>
          </w:tcPr>
          <w:p w14:paraId="1D4B00D0" w14:textId="622A3FB9" w:rsidR="009F2997" w:rsidRPr="00EE7081" w:rsidRDefault="009F2997" w:rsidP="009F2997">
            <w:pPr>
              <w:keepLines/>
              <w:autoSpaceDE w:val="0"/>
              <w:autoSpaceDN w:val="0"/>
              <w:spacing w:line="297" w:lineRule="exact"/>
              <w:ind w:left="107"/>
              <w:rPr>
                <w:sz w:val="20"/>
                <w:szCs w:val="20"/>
              </w:rPr>
            </w:pPr>
            <w:r w:rsidRPr="00EE7081">
              <w:rPr>
                <w:sz w:val="20"/>
                <w:szCs w:val="20"/>
              </w:rPr>
              <w:t>Brief or generic description of the current or planned Adult Education staff. Teachers have good qualifications, and many have educator licenses</w:t>
            </w:r>
            <w:r>
              <w:rPr>
                <w:sz w:val="20"/>
                <w:szCs w:val="20"/>
              </w:rPr>
              <w:t xml:space="preserve"> or certifications.</w:t>
            </w:r>
            <w:r w:rsidRPr="00EE7081">
              <w:rPr>
                <w:sz w:val="20"/>
                <w:szCs w:val="20"/>
              </w:rPr>
              <w:t xml:space="preserve"> Describes generally how staff will be provided professional development opportunities.</w:t>
            </w:r>
          </w:p>
        </w:tc>
        <w:tc>
          <w:tcPr>
            <w:tcW w:w="2299" w:type="dxa"/>
            <w:vAlign w:val="center"/>
          </w:tcPr>
          <w:p w14:paraId="616AEF85" w14:textId="77777777" w:rsidR="009F2997" w:rsidRPr="00EE7081" w:rsidRDefault="009F2997" w:rsidP="009F2997">
            <w:pPr>
              <w:keepLines/>
              <w:autoSpaceDE w:val="0"/>
              <w:autoSpaceDN w:val="0"/>
              <w:spacing w:line="297" w:lineRule="exact"/>
              <w:ind w:left="107"/>
              <w:jc w:val="center"/>
              <w:rPr>
                <w:sz w:val="20"/>
                <w:szCs w:val="20"/>
              </w:rPr>
            </w:pPr>
            <w:r>
              <w:rPr>
                <w:sz w:val="20"/>
                <w:szCs w:val="20"/>
              </w:rPr>
              <w:t>8-16</w:t>
            </w:r>
            <w:r w:rsidRPr="00EE7081">
              <w:rPr>
                <w:sz w:val="20"/>
                <w:szCs w:val="20"/>
              </w:rPr>
              <w:t xml:space="preserve"> points</w:t>
            </w:r>
          </w:p>
        </w:tc>
      </w:tr>
      <w:tr w:rsidR="000351E7" w:rsidRPr="00EE7081" w14:paraId="30CA810B" w14:textId="77777777" w:rsidTr="009F2997">
        <w:trPr>
          <w:cantSplit/>
        </w:trPr>
        <w:tc>
          <w:tcPr>
            <w:tcW w:w="7051" w:type="dxa"/>
          </w:tcPr>
          <w:p w14:paraId="18610DAD" w14:textId="1A555FE1" w:rsidR="000351E7" w:rsidRPr="00EE7081" w:rsidRDefault="000351E7" w:rsidP="000351E7">
            <w:pPr>
              <w:keepLines/>
              <w:tabs>
                <w:tab w:val="left" w:pos="408"/>
              </w:tabs>
              <w:autoSpaceDE w:val="0"/>
              <w:autoSpaceDN w:val="0"/>
              <w:spacing w:line="293" w:lineRule="exact"/>
              <w:ind w:left="107"/>
              <w:rPr>
                <w:sz w:val="20"/>
                <w:szCs w:val="20"/>
              </w:rPr>
            </w:pPr>
            <w:r w:rsidRPr="00EE7081">
              <w:rPr>
                <w:sz w:val="20"/>
                <w:szCs w:val="20"/>
              </w:rPr>
              <w:t>Detailed description of the current or planned Adult Education staff. Teachers have excellent qualifications and experience, and most have educator licenses</w:t>
            </w:r>
            <w:r>
              <w:rPr>
                <w:sz w:val="20"/>
                <w:szCs w:val="20"/>
              </w:rPr>
              <w:t xml:space="preserve"> or certifications</w:t>
            </w:r>
            <w:r w:rsidRPr="00EE7081">
              <w:rPr>
                <w:sz w:val="20"/>
                <w:szCs w:val="20"/>
              </w:rPr>
              <w:t>. The program already has teachers who are specially trained in a content area (</w:t>
            </w:r>
            <w:r>
              <w:rPr>
                <w:sz w:val="20"/>
                <w:szCs w:val="20"/>
              </w:rPr>
              <w:t>e.g</w:t>
            </w:r>
            <w:r w:rsidRPr="00EE7081">
              <w:rPr>
                <w:sz w:val="20"/>
                <w:szCs w:val="20"/>
              </w:rPr>
              <w:t>., math</w:t>
            </w:r>
            <w:r>
              <w:rPr>
                <w:sz w:val="20"/>
                <w:szCs w:val="20"/>
              </w:rPr>
              <w:t>, literacy, or ESL</w:t>
            </w:r>
            <w:r w:rsidRPr="00EE7081">
              <w:rPr>
                <w:sz w:val="20"/>
                <w:szCs w:val="20"/>
              </w:rPr>
              <w:t>) or has specific plans to hire them. Describes specifically how staff will be provided regular professional development opportunities.</w:t>
            </w:r>
          </w:p>
        </w:tc>
        <w:tc>
          <w:tcPr>
            <w:tcW w:w="2299" w:type="dxa"/>
            <w:vAlign w:val="center"/>
          </w:tcPr>
          <w:p w14:paraId="5E565367" w14:textId="77777777" w:rsidR="000351E7" w:rsidRPr="00EE7081" w:rsidRDefault="000351E7" w:rsidP="000351E7">
            <w:pPr>
              <w:keepLines/>
              <w:tabs>
                <w:tab w:val="left" w:pos="408"/>
              </w:tabs>
              <w:autoSpaceDE w:val="0"/>
              <w:autoSpaceDN w:val="0"/>
              <w:spacing w:line="293" w:lineRule="exact"/>
              <w:ind w:left="107"/>
              <w:jc w:val="center"/>
              <w:rPr>
                <w:sz w:val="20"/>
                <w:szCs w:val="20"/>
              </w:rPr>
            </w:pPr>
            <w:r>
              <w:rPr>
                <w:sz w:val="20"/>
                <w:szCs w:val="20"/>
              </w:rPr>
              <w:t>17-25</w:t>
            </w:r>
            <w:r w:rsidRPr="00EE7081">
              <w:rPr>
                <w:sz w:val="20"/>
                <w:szCs w:val="20"/>
              </w:rPr>
              <w:t xml:space="preserve"> points</w:t>
            </w:r>
          </w:p>
        </w:tc>
      </w:tr>
      <w:tr w:rsidR="00804B54" w:rsidRPr="00EE7081" w14:paraId="73012A4E" w14:textId="77777777" w:rsidTr="009F2997">
        <w:trPr>
          <w:cantSplit/>
          <w:trHeight w:val="458"/>
        </w:trPr>
        <w:tc>
          <w:tcPr>
            <w:tcW w:w="7051" w:type="dxa"/>
            <w:vAlign w:val="center"/>
          </w:tcPr>
          <w:p w14:paraId="63C548AD" w14:textId="77777777" w:rsidR="00804B54" w:rsidRPr="00EE7081" w:rsidRDefault="00804B54" w:rsidP="00F132FF">
            <w:pPr>
              <w:keepLines/>
              <w:tabs>
                <w:tab w:val="left" w:pos="408"/>
              </w:tabs>
              <w:autoSpaceDE w:val="0"/>
              <w:autoSpaceDN w:val="0"/>
              <w:spacing w:line="293" w:lineRule="exact"/>
              <w:ind w:left="107"/>
              <w:jc w:val="right"/>
              <w:rPr>
                <w:b/>
                <w:bCs/>
                <w:w w:val="110"/>
                <w:sz w:val="20"/>
                <w:szCs w:val="20"/>
              </w:rPr>
            </w:pPr>
            <w:r w:rsidRPr="00EE7081">
              <w:rPr>
                <w:b/>
                <w:bCs/>
                <w:w w:val="110"/>
                <w:sz w:val="20"/>
                <w:szCs w:val="20"/>
              </w:rPr>
              <w:t>Score</w:t>
            </w:r>
          </w:p>
        </w:tc>
        <w:tc>
          <w:tcPr>
            <w:tcW w:w="2299" w:type="dxa"/>
            <w:vAlign w:val="center"/>
          </w:tcPr>
          <w:p w14:paraId="22821234" w14:textId="77777777" w:rsidR="00804B54" w:rsidRPr="00EE7081" w:rsidRDefault="00804B54" w:rsidP="00F132FF">
            <w:pPr>
              <w:keepLines/>
              <w:tabs>
                <w:tab w:val="left" w:pos="408"/>
              </w:tabs>
              <w:autoSpaceDE w:val="0"/>
              <w:autoSpaceDN w:val="0"/>
              <w:spacing w:line="293" w:lineRule="exact"/>
              <w:ind w:left="107"/>
              <w:jc w:val="center"/>
              <w:rPr>
                <w:b/>
                <w:bCs/>
                <w:sz w:val="20"/>
                <w:szCs w:val="20"/>
              </w:rPr>
            </w:pPr>
            <w:r w:rsidRPr="00EE7081">
              <w:rPr>
                <w:b/>
                <w:bCs/>
                <w:sz w:val="20"/>
                <w:szCs w:val="20"/>
              </w:rPr>
              <w:t>/</w:t>
            </w:r>
            <w:r>
              <w:rPr>
                <w:b/>
                <w:bCs/>
                <w:sz w:val="20"/>
                <w:szCs w:val="20"/>
              </w:rPr>
              <w:t>25</w:t>
            </w:r>
            <w:r w:rsidRPr="00EE7081">
              <w:rPr>
                <w:b/>
                <w:bCs/>
                <w:sz w:val="20"/>
                <w:szCs w:val="20"/>
              </w:rPr>
              <w:t xml:space="preserve"> points</w:t>
            </w:r>
          </w:p>
        </w:tc>
      </w:tr>
      <w:tr w:rsidR="00804B54" w:rsidRPr="00EE7081" w14:paraId="0742A12A" w14:textId="77777777" w:rsidTr="009F2997">
        <w:trPr>
          <w:cantSplit/>
        </w:trPr>
        <w:tc>
          <w:tcPr>
            <w:tcW w:w="9350" w:type="dxa"/>
            <w:gridSpan w:val="2"/>
          </w:tcPr>
          <w:p w14:paraId="0EC0F53D" w14:textId="77777777" w:rsidR="00804B54" w:rsidRPr="00EE7081" w:rsidRDefault="00804B54" w:rsidP="00F132FF">
            <w:pPr>
              <w:keepLines/>
              <w:tabs>
                <w:tab w:val="left" w:pos="408"/>
              </w:tabs>
              <w:autoSpaceDE w:val="0"/>
              <w:autoSpaceDN w:val="0"/>
              <w:spacing w:line="293" w:lineRule="exact"/>
              <w:ind w:left="107"/>
              <w:rPr>
                <w:w w:val="110"/>
                <w:sz w:val="20"/>
                <w:szCs w:val="20"/>
              </w:rPr>
            </w:pPr>
            <w:r w:rsidRPr="00EE7081">
              <w:rPr>
                <w:b/>
                <w:bCs/>
                <w:w w:val="110"/>
                <w:sz w:val="20"/>
                <w:szCs w:val="20"/>
              </w:rPr>
              <w:t>Comments:</w:t>
            </w:r>
            <w:r w:rsidRPr="00EE7081">
              <w:rPr>
                <w:w w:val="110"/>
                <w:sz w:val="20"/>
                <w:szCs w:val="20"/>
              </w:rPr>
              <w:t xml:space="preserve"> </w:t>
            </w:r>
          </w:p>
          <w:p w14:paraId="1B8CE53A" w14:textId="77777777" w:rsidR="00804B54" w:rsidRPr="00EE7081" w:rsidRDefault="00804B54" w:rsidP="00F132FF">
            <w:pPr>
              <w:keepLines/>
              <w:tabs>
                <w:tab w:val="left" w:pos="408"/>
              </w:tabs>
              <w:autoSpaceDE w:val="0"/>
              <w:autoSpaceDN w:val="0"/>
              <w:spacing w:line="293" w:lineRule="exact"/>
              <w:ind w:left="107"/>
              <w:jc w:val="center"/>
              <w:rPr>
                <w:sz w:val="20"/>
                <w:szCs w:val="20"/>
              </w:rPr>
            </w:pPr>
          </w:p>
        </w:tc>
      </w:tr>
    </w:tbl>
    <w:p w14:paraId="3C31B84E" w14:textId="29C8EB0B" w:rsidR="00804B54" w:rsidRDefault="00804B54" w:rsidP="00EA0734">
      <w:pPr>
        <w:keepLines/>
        <w:rPr>
          <w:rFonts w:eastAsiaTheme="minorHAnsi"/>
          <w:b/>
          <w:bCs/>
          <w:sz w:val="20"/>
          <w:szCs w:val="20"/>
        </w:rPr>
      </w:pPr>
    </w:p>
    <w:p w14:paraId="1BEDC4EA" w14:textId="77777777" w:rsidR="00804B54" w:rsidRDefault="00804B54">
      <w:pPr>
        <w:rPr>
          <w:rFonts w:eastAsiaTheme="minorHAnsi"/>
          <w:b/>
          <w:bCs/>
          <w:sz w:val="20"/>
          <w:szCs w:val="20"/>
        </w:rPr>
      </w:pPr>
      <w:r>
        <w:rPr>
          <w:rFonts w:eastAsiaTheme="minorHAnsi"/>
          <w:b/>
          <w:bCs/>
          <w:sz w:val="20"/>
          <w:szCs w:val="20"/>
        </w:rPr>
        <w:br w:type="page"/>
      </w:r>
    </w:p>
    <w:p w14:paraId="61B64D86" w14:textId="77777777" w:rsidR="00804B54" w:rsidRDefault="00804B54" w:rsidP="00EA0734">
      <w:pPr>
        <w:keepLines/>
        <w:rPr>
          <w:rFonts w:eastAsiaTheme="minorHAnsi"/>
          <w:b/>
          <w:bCs/>
          <w:sz w:val="20"/>
          <w:szCs w:val="20"/>
        </w:rPr>
      </w:pPr>
    </w:p>
    <w:tbl>
      <w:tblPr>
        <w:tblStyle w:val="TableGrid1"/>
        <w:tblW w:w="0" w:type="auto"/>
        <w:tblCellMar>
          <w:top w:w="115" w:type="dxa"/>
          <w:left w:w="115" w:type="dxa"/>
          <w:bottom w:w="115" w:type="dxa"/>
          <w:right w:w="115" w:type="dxa"/>
        </w:tblCellMar>
        <w:tblLook w:val="04A0" w:firstRow="1" w:lastRow="0" w:firstColumn="1" w:lastColumn="0" w:noHBand="0" w:noVBand="1"/>
      </w:tblPr>
      <w:tblGrid>
        <w:gridCol w:w="7058"/>
        <w:gridCol w:w="2292"/>
      </w:tblGrid>
      <w:tr w:rsidR="00804B54" w:rsidRPr="00EE7081" w14:paraId="56D1303A" w14:textId="77777777" w:rsidTr="004C1D0A">
        <w:trPr>
          <w:cantSplit/>
          <w:trHeight w:val="377"/>
        </w:trPr>
        <w:tc>
          <w:tcPr>
            <w:tcW w:w="9350" w:type="dxa"/>
            <w:gridSpan w:val="2"/>
            <w:shd w:val="clear" w:color="auto" w:fill="17365D" w:themeFill="text2" w:themeFillShade="BF"/>
            <w:vAlign w:val="center"/>
          </w:tcPr>
          <w:p w14:paraId="5A785E94" w14:textId="77777777" w:rsidR="00804B54" w:rsidRPr="00EE7081" w:rsidRDefault="00804B54" w:rsidP="00F132FF">
            <w:pPr>
              <w:keepLines/>
              <w:autoSpaceDE w:val="0"/>
              <w:autoSpaceDN w:val="0"/>
              <w:spacing w:line="299" w:lineRule="exact"/>
              <w:ind w:left="101"/>
              <w:jc w:val="center"/>
              <w:rPr>
                <w:b/>
                <w:bCs/>
              </w:rPr>
            </w:pPr>
            <w:r w:rsidRPr="00EE7081">
              <w:rPr>
                <w:b/>
                <w:bCs/>
              </w:rPr>
              <w:t>PART 8</w:t>
            </w:r>
            <w:r>
              <w:rPr>
                <w:b/>
                <w:bCs/>
              </w:rPr>
              <w:t>: STUDENTS WITH DISABILITIES</w:t>
            </w:r>
            <w:r w:rsidRPr="00EE7081">
              <w:rPr>
                <w:b/>
                <w:bCs/>
              </w:rPr>
              <w:t xml:space="preserve"> – 10 points possible</w:t>
            </w:r>
          </w:p>
        </w:tc>
      </w:tr>
      <w:tr w:rsidR="00804B54" w:rsidRPr="00EE7081" w14:paraId="100244C0" w14:textId="77777777" w:rsidTr="004C1D0A">
        <w:trPr>
          <w:cantSplit/>
          <w:trHeight w:val="377"/>
        </w:trPr>
        <w:tc>
          <w:tcPr>
            <w:tcW w:w="9350" w:type="dxa"/>
            <w:gridSpan w:val="2"/>
            <w:shd w:val="clear" w:color="auto" w:fill="DBE5F1" w:themeFill="accent1" w:themeFillTint="33"/>
            <w:vAlign w:val="center"/>
          </w:tcPr>
          <w:p w14:paraId="32340075" w14:textId="77777777" w:rsidR="00804B54" w:rsidRPr="00EE7081" w:rsidRDefault="00804B54" w:rsidP="00F132FF">
            <w:pPr>
              <w:keepLines/>
              <w:autoSpaceDE w:val="0"/>
              <w:autoSpaceDN w:val="0"/>
              <w:spacing w:line="299" w:lineRule="exact"/>
              <w:ind w:left="101"/>
              <w:rPr>
                <w:sz w:val="20"/>
                <w:szCs w:val="20"/>
              </w:rPr>
            </w:pPr>
            <w:r w:rsidRPr="00EE7081">
              <w:rPr>
                <w:bCs/>
                <w:sz w:val="20"/>
                <w:szCs w:val="20"/>
              </w:rPr>
              <w:t>Describe how the eligible provider will serve eligible individuals with disabilities, including eligible individuals with learning disabilities. (See Consideration 2.)</w:t>
            </w:r>
          </w:p>
        </w:tc>
      </w:tr>
      <w:tr w:rsidR="004C1D0A" w:rsidRPr="00EE7081" w14:paraId="1AD6273B" w14:textId="77777777" w:rsidTr="004C1D0A">
        <w:trPr>
          <w:cantSplit/>
          <w:trHeight w:val="377"/>
        </w:trPr>
        <w:tc>
          <w:tcPr>
            <w:tcW w:w="7058" w:type="dxa"/>
          </w:tcPr>
          <w:p w14:paraId="42142EB9" w14:textId="3E5C0152" w:rsidR="004C1D0A" w:rsidRPr="00EE7081" w:rsidRDefault="004C1D0A" w:rsidP="004C1D0A">
            <w:pPr>
              <w:keepLines/>
              <w:autoSpaceDE w:val="0"/>
              <w:autoSpaceDN w:val="0"/>
              <w:spacing w:line="299" w:lineRule="exact"/>
              <w:ind w:left="107"/>
              <w:rPr>
                <w:sz w:val="20"/>
                <w:szCs w:val="20"/>
              </w:rPr>
            </w:pPr>
            <w:r w:rsidRPr="00EE7081">
              <w:rPr>
                <w:sz w:val="20"/>
                <w:szCs w:val="20"/>
              </w:rPr>
              <w:t xml:space="preserve">No or poor description of how the program currently accommodates or plans to accommodate students with disabilities. </w:t>
            </w:r>
          </w:p>
        </w:tc>
        <w:tc>
          <w:tcPr>
            <w:tcW w:w="2292" w:type="dxa"/>
            <w:vAlign w:val="center"/>
          </w:tcPr>
          <w:p w14:paraId="1B515928" w14:textId="77777777" w:rsidR="004C1D0A" w:rsidRPr="00EE7081" w:rsidRDefault="004C1D0A" w:rsidP="004C1D0A">
            <w:pPr>
              <w:keepLines/>
              <w:autoSpaceDE w:val="0"/>
              <w:autoSpaceDN w:val="0"/>
              <w:spacing w:line="299" w:lineRule="exact"/>
              <w:ind w:left="107"/>
              <w:jc w:val="center"/>
              <w:rPr>
                <w:sz w:val="20"/>
                <w:szCs w:val="20"/>
              </w:rPr>
            </w:pPr>
            <w:r w:rsidRPr="00EE7081">
              <w:rPr>
                <w:sz w:val="20"/>
                <w:szCs w:val="20"/>
              </w:rPr>
              <w:t>0-2 points</w:t>
            </w:r>
          </w:p>
        </w:tc>
      </w:tr>
      <w:tr w:rsidR="00EF2DE9" w:rsidRPr="00EE7081" w14:paraId="7AA9A5D3" w14:textId="77777777" w:rsidTr="004C1D0A">
        <w:trPr>
          <w:cantSplit/>
          <w:trHeight w:val="440"/>
        </w:trPr>
        <w:tc>
          <w:tcPr>
            <w:tcW w:w="7058" w:type="dxa"/>
          </w:tcPr>
          <w:p w14:paraId="24ABB1CA" w14:textId="003CE29D" w:rsidR="00EF2DE9" w:rsidRPr="00EE7081" w:rsidRDefault="00EF2DE9" w:rsidP="00EF2DE9">
            <w:pPr>
              <w:keepLines/>
              <w:autoSpaceDE w:val="0"/>
              <w:autoSpaceDN w:val="0"/>
              <w:spacing w:line="297" w:lineRule="exact"/>
              <w:ind w:left="107"/>
              <w:rPr>
                <w:sz w:val="20"/>
                <w:szCs w:val="20"/>
              </w:rPr>
            </w:pPr>
            <w:r w:rsidRPr="00EE7081">
              <w:rPr>
                <w:sz w:val="20"/>
                <w:szCs w:val="20"/>
              </w:rPr>
              <w:t>Brief or generic description of how the program currently accommodates or plans to accommodate students with disabilities. Only addresses disabilities</w:t>
            </w:r>
            <w:r>
              <w:rPr>
                <w:sz w:val="20"/>
                <w:szCs w:val="20"/>
              </w:rPr>
              <w:t xml:space="preserve"> generally</w:t>
            </w:r>
            <w:r w:rsidRPr="00EE7081">
              <w:rPr>
                <w:sz w:val="20"/>
                <w:szCs w:val="20"/>
              </w:rPr>
              <w:t>. Addresses primarily hypotheticals and not already-established practices.</w:t>
            </w:r>
          </w:p>
        </w:tc>
        <w:tc>
          <w:tcPr>
            <w:tcW w:w="2292" w:type="dxa"/>
            <w:vAlign w:val="center"/>
          </w:tcPr>
          <w:p w14:paraId="69D0646D" w14:textId="77777777" w:rsidR="00EF2DE9" w:rsidRPr="00EE7081" w:rsidRDefault="00EF2DE9" w:rsidP="00EF2DE9">
            <w:pPr>
              <w:keepLines/>
              <w:autoSpaceDE w:val="0"/>
              <w:autoSpaceDN w:val="0"/>
              <w:spacing w:line="297" w:lineRule="exact"/>
              <w:ind w:left="107"/>
              <w:jc w:val="center"/>
              <w:rPr>
                <w:sz w:val="20"/>
                <w:szCs w:val="20"/>
              </w:rPr>
            </w:pPr>
            <w:r w:rsidRPr="00EE7081">
              <w:rPr>
                <w:sz w:val="20"/>
                <w:szCs w:val="20"/>
              </w:rPr>
              <w:t>3-6 points</w:t>
            </w:r>
          </w:p>
        </w:tc>
      </w:tr>
      <w:tr w:rsidR="004C34FE" w:rsidRPr="00EE7081" w14:paraId="2952F9BB" w14:textId="77777777" w:rsidTr="004C1D0A">
        <w:trPr>
          <w:cantSplit/>
        </w:trPr>
        <w:tc>
          <w:tcPr>
            <w:tcW w:w="7058" w:type="dxa"/>
          </w:tcPr>
          <w:p w14:paraId="594B95FF" w14:textId="638FEBBA" w:rsidR="004C34FE" w:rsidRPr="00EE7081" w:rsidRDefault="004C34FE" w:rsidP="004C34FE">
            <w:pPr>
              <w:keepLines/>
              <w:tabs>
                <w:tab w:val="left" w:pos="408"/>
              </w:tabs>
              <w:autoSpaceDE w:val="0"/>
              <w:autoSpaceDN w:val="0"/>
              <w:spacing w:line="293" w:lineRule="exact"/>
              <w:ind w:left="107"/>
              <w:rPr>
                <w:sz w:val="20"/>
                <w:szCs w:val="20"/>
              </w:rPr>
            </w:pPr>
            <w:r w:rsidRPr="00EE7081">
              <w:rPr>
                <w:sz w:val="20"/>
                <w:szCs w:val="20"/>
              </w:rPr>
              <w:t xml:space="preserve">Detailed description of how the program currently accommodates or plans to accommodate students with disabilities. Addresses </w:t>
            </w:r>
            <w:r>
              <w:rPr>
                <w:sz w:val="20"/>
                <w:szCs w:val="20"/>
              </w:rPr>
              <w:t>specific d</w:t>
            </w:r>
            <w:r w:rsidRPr="00EE7081">
              <w:rPr>
                <w:sz w:val="20"/>
                <w:szCs w:val="20"/>
              </w:rPr>
              <w:t xml:space="preserve">isabilities, including physical and learning disabilities, and details how they are accommodated. Practices are not just hypothetical but have already been established to some degree. </w:t>
            </w:r>
            <w:r>
              <w:rPr>
                <w:sz w:val="20"/>
                <w:szCs w:val="20"/>
              </w:rPr>
              <w:t>Describes how t</w:t>
            </w:r>
            <w:r w:rsidRPr="00EE7081">
              <w:rPr>
                <w:sz w:val="20"/>
                <w:szCs w:val="20"/>
              </w:rPr>
              <w:t xml:space="preserve">he </w:t>
            </w:r>
            <w:r>
              <w:rPr>
                <w:sz w:val="20"/>
                <w:szCs w:val="20"/>
              </w:rPr>
              <w:t>agency</w:t>
            </w:r>
            <w:r w:rsidRPr="00EE7081">
              <w:rPr>
                <w:sz w:val="20"/>
                <w:szCs w:val="20"/>
              </w:rPr>
              <w:t xml:space="preserve"> already has </w:t>
            </w:r>
            <w:r>
              <w:rPr>
                <w:sz w:val="20"/>
                <w:szCs w:val="20"/>
              </w:rPr>
              <w:t>special education-</w:t>
            </w:r>
            <w:r w:rsidRPr="00EE7081">
              <w:rPr>
                <w:sz w:val="20"/>
                <w:szCs w:val="20"/>
              </w:rPr>
              <w:t>trained staff</w:t>
            </w:r>
            <w:r>
              <w:rPr>
                <w:sz w:val="20"/>
                <w:szCs w:val="20"/>
              </w:rPr>
              <w:t>, or how the agency plans to hire or train and develop staff in special education. The program has an established partnership with the Vocational Rehabilitation service provider(s) in the area.</w:t>
            </w:r>
          </w:p>
        </w:tc>
        <w:tc>
          <w:tcPr>
            <w:tcW w:w="2292" w:type="dxa"/>
            <w:vAlign w:val="center"/>
          </w:tcPr>
          <w:p w14:paraId="43C64BB3" w14:textId="77777777" w:rsidR="004C34FE" w:rsidRPr="00EE7081" w:rsidRDefault="004C34FE" w:rsidP="004C34FE">
            <w:pPr>
              <w:keepLines/>
              <w:tabs>
                <w:tab w:val="left" w:pos="408"/>
              </w:tabs>
              <w:autoSpaceDE w:val="0"/>
              <w:autoSpaceDN w:val="0"/>
              <w:spacing w:line="293" w:lineRule="exact"/>
              <w:ind w:left="107"/>
              <w:jc w:val="center"/>
              <w:rPr>
                <w:sz w:val="20"/>
                <w:szCs w:val="20"/>
              </w:rPr>
            </w:pPr>
            <w:r w:rsidRPr="00EE7081">
              <w:rPr>
                <w:sz w:val="20"/>
                <w:szCs w:val="20"/>
              </w:rPr>
              <w:t>7-10 points</w:t>
            </w:r>
          </w:p>
        </w:tc>
      </w:tr>
      <w:tr w:rsidR="00804B54" w:rsidRPr="00EE7081" w14:paraId="1F313C9A" w14:textId="77777777" w:rsidTr="004C1D0A">
        <w:trPr>
          <w:cantSplit/>
          <w:trHeight w:val="458"/>
        </w:trPr>
        <w:tc>
          <w:tcPr>
            <w:tcW w:w="7058" w:type="dxa"/>
            <w:vAlign w:val="center"/>
          </w:tcPr>
          <w:p w14:paraId="6F433D64" w14:textId="77777777" w:rsidR="00804B54" w:rsidRPr="00EE7081" w:rsidRDefault="00804B54" w:rsidP="00F132FF">
            <w:pPr>
              <w:keepLines/>
              <w:tabs>
                <w:tab w:val="left" w:pos="408"/>
              </w:tabs>
              <w:autoSpaceDE w:val="0"/>
              <w:autoSpaceDN w:val="0"/>
              <w:spacing w:line="293" w:lineRule="exact"/>
              <w:ind w:left="107"/>
              <w:jc w:val="right"/>
              <w:rPr>
                <w:b/>
                <w:bCs/>
                <w:w w:val="110"/>
                <w:sz w:val="20"/>
                <w:szCs w:val="20"/>
              </w:rPr>
            </w:pPr>
            <w:r w:rsidRPr="00EE7081">
              <w:rPr>
                <w:b/>
                <w:bCs/>
                <w:w w:val="110"/>
                <w:sz w:val="20"/>
                <w:szCs w:val="20"/>
              </w:rPr>
              <w:t>Score</w:t>
            </w:r>
          </w:p>
        </w:tc>
        <w:tc>
          <w:tcPr>
            <w:tcW w:w="2292" w:type="dxa"/>
            <w:vAlign w:val="center"/>
          </w:tcPr>
          <w:p w14:paraId="019729F5" w14:textId="77777777" w:rsidR="00804B54" w:rsidRPr="00EE7081" w:rsidRDefault="00804B54" w:rsidP="00F132FF">
            <w:pPr>
              <w:keepLines/>
              <w:tabs>
                <w:tab w:val="left" w:pos="408"/>
              </w:tabs>
              <w:autoSpaceDE w:val="0"/>
              <w:autoSpaceDN w:val="0"/>
              <w:spacing w:line="293" w:lineRule="exact"/>
              <w:ind w:left="107"/>
              <w:jc w:val="center"/>
              <w:rPr>
                <w:b/>
                <w:bCs/>
                <w:sz w:val="20"/>
                <w:szCs w:val="20"/>
              </w:rPr>
            </w:pPr>
            <w:r w:rsidRPr="00EE7081">
              <w:rPr>
                <w:b/>
                <w:bCs/>
                <w:sz w:val="20"/>
                <w:szCs w:val="20"/>
              </w:rPr>
              <w:t>/10 points</w:t>
            </w:r>
          </w:p>
        </w:tc>
      </w:tr>
      <w:tr w:rsidR="00804B54" w:rsidRPr="00EE7081" w14:paraId="01372A18" w14:textId="77777777" w:rsidTr="004C1D0A">
        <w:trPr>
          <w:cantSplit/>
        </w:trPr>
        <w:tc>
          <w:tcPr>
            <w:tcW w:w="9350" w:type="dxa"/>
            <w:gridSpan w:val="2"/>
          </w:tcPr>
          <w:p w14:paraId="3EEE93F2" w14:textId="77777777" w:rsidR="00804B54" w:rsidRPr="00EE7081" w:rsidRDefault="00804B54" w:rsidP="00F132FF">
            <w:pPr>
              <w:keepLines/>
              <w:tabs>
                <w:tab w:val="left" w:pos="408"/>
              </w:tabs>
              <w:autoSpaceDE w:val="0"/>
              <w:autoSpaceDN w:val="0"/>
              <w:spacing w:line="293" w:lineRule="exact"/>
              <w:ind w:left="107"/>
              <w:rPr>
                <w:w w:val="110"/>
                <w:sz w:val="20"/>
                <w:szCs w:val="20"/>
              </w:rPr>
            </w:pPr>
            <w:r w:rsidRPr="00EE7081">
              <w:rPr>
                <w:b/>
                <w:bCs/>
                <w:w w:val="110"/>
                <w:sz w:val="20"/>
                <w:szCs w:val="20"/>
              </w:rPr>
              <w:t>Comments:</w:t>
            </w:r>
            <w:r w:rsidRPr="00EE7081">
              <w:rPr>
                <w:w w:val="110"/>
                <w:sz w:val="20"/>
                <w:szCs w:val="20"/>
              </w:rPr>
              <w:t xml:space="preserve"> </w:t>
            </w:r>
          </w:p>
          <w:p w14:paraId="61AE9280" w14:textId="77777777" w:rsidR="00804B54" w:rsidRPr="00EE7081" w:rsidRDefault="00804B54" w:rsidP="00F132FF">
            <w:pPr>
              <w:keepLines/>
              <w:tabs>
                <w:tab w:val="left" w:pos="408"/>
              </w:tabs>
              <w:autoSpaceDE w:val="0"/>
              <w:autoSpaceDN w:val="0"/>
              <w:spacing w:line="293" w:lineRule="exact"/>
              <w:ind w:left="107"/>
              <w:jc w:val="center"/>
              <w:rPr>
                <w:sz w:val="20"/>
                <w:szCs w:val="20"/>
              </w:rPr>
            </w:pPr>
          </w:p>
        </w:tc>
      </w:tr>
    </w:tbl>
    <w:p w14:paraId="460D0AD8" w14:textId="5A486601" w:rsidR="00804B54" w:rsidRDefault="00804B54" w:rsidP="00EA0734">
      <w:pPr>
        <w:keepLines/>
        <w:rPr>
          <w:rFonts w:eastAsiaTheme="minorHAnsi"/>
          <w:b/>
          <w:bCs/>
          <w:sz w:val="20"/>
          <w:szCs w:val="20"/>
        </w:rPr>
      </w:pPr>
    </w:p>
    <w:p w14:paraId="267E183F" w14:textId="77777777" w:rsidR="00804B54" w:rsidRDefault="00804B54">
      <w:pPr>
        <w:rPr>
          <w:rFonts w:eastAsiaTheme="minorHAnsi"/>
          <w:b/>
          <w:bCs/>
          <w:sz w:val="20"/>
          <w:szCs w:val="20"/>
        </w:rPr>
      </w:pPr>
      <w:r>
        <w:rPr>
          <w:rFonts w:eastAsiaTheme="minorHAnsi"/>
          <w:b/>
          <w:bCs/>
          <w:sz w:val="20"/>
          <w:szCs w:val="20"/>
        </w:rPr>
        <w:br w:type="page"/>
      </w:r>
    </w:p>
    <w:tbl>
      <w:tblPr>
        <w:tblStyle w:val="TableGrid1"/>
        <w:tblW w:w="0" w:type="auto"/>
        <w:tblCellMar>
          <w:top w:w="115" w:type="dxa"/>
          <w:left w:w="115" w:type="dxa"/>
          <w:bottom w:w="115" w:type="dxa"/>
          <w:right w:w="115" w:type="dxa"/>
        </w:tblCellMar>
        <w:tblLook w:val="04A0" w:firstRow="1" w:lastRow="0" w:firstColumn="1" w:lastColumn="0" w:noHBand="0" w:noVBand="1"/>
      </w:tblPr>
      <w:tblGrid>
        <w:gridCol w:w="7053"/>
        <w:gridCol w:w="2297"/>
      </w:tblGrid>
      <w:tr w:rsidR="00804B54" w:rsidRPr="00EE7081" w14:paraId="4A6038BF" w14:textId="77777777" w:rsidTr="00F132FF">
        <w:trPr>
          <w:cantSplit/>
          <w:trHeight w:val="377"/>
        </w:trPr>
        <w:tc>
          <w:tcPr>
            <w:tcW w:w="10790" w:type="dxa"/>
            <w:gridSpan w:val="2"/>
            <w:shd w:val="clear" w:color="auto" w:fill="17365D" w:themeFill="text2" w:themeFillShade="BF"/>
            <w:vAlign w:val="center"/>
          </w:tcPr>
          <w:p w14:paraId="7D65EDC9" w14:textId="7DA58EBE" w:rsidR="00804B54" w:rsidRPr="00EE7081" w:rsidRDefault="00804B54" w:rsidP="00F132FF">
            <w:pPr>
              <w:keepLines/>
              <w:autoSpaceDE w:val="0"/>
              <w:autoSpaceDN w:val="0"/>
              <w:spacing w:line="299" w:lineRule="exact"/>
              <w:ind w:left="101"/>
              <w:jc w:val="center"/>
              <w:rPr>
                <w:b/>
                <w:bCs/>
              </w:rPr>
            </w:pPr>
            <w:r w:rsidRPr="00EE7081">
              <w:rPr>
                <w:b/>
                <w:bCs/>
                <w:sz w:val="20"/>
                <w:szCs w:val="20"/>
              </w:rPr>
              <w:lastRenderedPageBreak/>
              <w:br w:type="page"/>
            </w:r>
            <w:r w:rsidRPr="00EE7081">
              <w:rPr>
                <w:b/>
                <w:bCs/>
              </w:rPr>
              <w:t xml:space="preserve">PART </w:t>
            </w:r>
            <w:r>
              <w:rPr>
                <w:b/>
                <w:bCs/>
              </w:rPr>
              <w:t>9: CONTEXUALIZED LEARNING</w:t>
            </w:r>
            <w:r w:rsidRPr="00EE7081">
              <w:rPr>
                <w:b/>
                <w:bCs/>
              </w:rPr>
              <w:t xml:space="preserve"> – 10 points possible</w:t>
            </w:r>
          </w:p>
        </w:tc>
      </w:tr>
      <w:tr w:rsidR="00804B54" w:rsidRPr="00EE7081" w14:paraId="585C6B9A" w14:textId="77777777" w:rsidTr="00F132FF">
        <w:trPr>
          <w:cantSplit/>
          <w:trHeight w:val="377"/>
        </w:trPr>
        <w:tc>
          <w:tcPr>
            <w:tcW w:w="10790" w:type="dxa"/>
            <w:gridSpan w:val="2"/>
            <w:shd w:val="clear" w:color="auto" w:fill="DBE5F1" w:themeFill="accent1" w:themeFillTint="33"/>
            <w:vAlign w:val="center"/>
          </w:tcPr>
          <w:p w14:paraId="686DD39F" w14:textId="77777777" w:rsidR="00804B54" w:rsidRPr="00EE7081" w:rsidRDefault="00804B54" w:rsidP="00F132FF">
            <w:pPr>
              <w:keepLines/>
              <w:autoSpaceDE w:val="0"/>
              <w:autoSpaceDN w:val="0"/>
              <w:spacing w:line="299" w:lineRule="exact"/>
              <w:ind w:left="101"/>
              <w:rPr>
                <w:sz w:val="20"/>
                <w:szCs w:val="20"/>
              </w:rPr>
            </w:pPr>
            <w:r w:rsidRPr="00EE7081">
              <w:rPr>
                <w:bCs/>
                <w:sz w:val="20"/>
                <w:szCs w:val="20"/>
              </w:rPr>
              <w:t>Describe how the eligible provider’s activities provide learning in context, including through integrated education and training, so that an individual acquires the skills needed to transition to and complete postsecondary education and training programs, obtain and advance in employment leading to economic self-sufficiency, and to exercise the rights and responsibilities of citizenship. (See Consideration 8.)</w:t>
            </w:r>
          </w:p>
        </w:tc>
      </w:tr>
      <w:tr w:rsidR="00804B54" w:rsidRPr="00EE7081" w14:paraId="198560DC" w14:textId="77777777" w:rsidTr="00F132FF">
        <w:trPr>
          <w:cantSplit/>
          <w:trHeight w:val="377"/>
        </w:trPr>
        <w:tc>
          <w:tcPr>
            <w:tcW w:w="8206" w:type="dxa"/>
          </w:tcPr>
          <w:p w14:paraId="6C98E1E9" w14:textId="08CA1410" w:rsidR="00804B54" w:rsidRPr="00EE7081" w:rsidRDefault="0075773B" w:rsidP="00F132FF">
            <w:pPr>
              <w:keepLines/>
              <w:autoSpaceDE w:val="0"/>
              <w:autoSpaceDN w:val="0"/>
              <w:spacing w:line="299" w:lineRule="exact"/>
              <w:ind w:left="107"/>
              <w:rPr>
                <w:sz w:val="20"/>
                <w:szCs w:val="20"/>
              </w:rPr>
            </w:pPr>
            <w:r>
              <w:rPr>
                <w:sz w:val="20"/>
                <w:szCs w:val="20"/>
              </w:rPr>
              <w:t>No</w:t>
            </w:r>
            <w:r w:rsidR="00804B54" w:rsidRPr="00EE7081">
              <w:rPr>
                <w:sz w:val="20"/>
                <w:szCs w:val="20"/>
              </w:rPr>
              <w:t xml:space="preserve"> or poor description of the program’s current or planned integration of contextualized learning activities. </w:t>
            </w:r>
          </w:p>
        </w:tc>
        <w:tc>
          <w:tcPr>
            <w:tcW w:w="2584" w:type="dxa"/>
            <w:vAlign w:val="center"/>
          </w:tcPr>
          <w:p w14:paraId="401FA839" w14:textId="77777777" w:rsidR="00804B54" w:rsidRPr="00EE7081" w:rsidRDefault="00804B54" w:rsidP="00F132FF">
            <w:pPr>
              <w:keepLines/>
              <w:autoSpaceDE w:val="0"/>
              <w:autoSpaceDN w:val="0"/>
              <w:spacing w:line="299" w:lineRule="exact"/>
              <w:ind w:left="107"/>
              <w:jc w:val="center"/>
              <w:rPr>
                <w:sz w:val="20"/>
                <w:szCs w:val="20"/>
              </w:rPr>
            </w:pPr>
            <w:r w:rsidRPr="00EE7081">
              <w:rPr>
                <w:sz w:val="20"/>
                <w:szCs w:val="20"/>
              </w:rPr>
              <w:t>0-2 points</w:t>
            </w:r>
          </w:p>
        </w:tc>
      </w:tr>
      <w:tr w:rsidR="00804B54" w:rsidRPr="00EE7081" w14:paraId="1778DAB5" w14:textId="77777777" w:rsidTr="00F132FF">
        <w:trPr>
          <w:cantSplit/>
          <w:trHeight w:val="440"/>
        </w:trPr>
        <w:tc>
          <w:tcPr>
            <w:tcW w:w="8206" w:type="dxa"/>
          </w:tcPr>
          <w:p w14:paraId="2CE19CB5" w14:textId="77777777" w:rsidR="00804B54" w:rsidRPr="00EE7081" w:rsidRDefault="00804B54" w:rsidP="00F132FF">
            <w:pPr>
              <w:keepLines/>
              <w:autoSpaceDE w:val="0"/>
              <w:autoSpaceDN w:val="0"/>
              <w:spacing w:line="297" w:lineRule="exact"/>
              <w:ind w:left="107"/>
              <w:rPr>
                <w:sz w:val="20"/>
                <w:szCs w:val="20"/>
              </w:rPr>
            </w:pPr>
            <w:r w:rsidRPr="00EE7081">
              <w:rPr>
                <w:sz w:val="20"/>
                <w:szCs w:val="20"/>
              </w:rPr>
              <w:t>Brief or generic description of the program’s current or planned integration of contextualized learning activities. Activities are somewhat limited in scope or rigor. Few examples are provided. There is limited description of the content or curriculum.</w:t>
            </w:r>
          </w:p>
        </w:tc>
        <w:tc>
          <w:tcPr>
            <w:tcW w:w="2584" w:type="dxa"/>
            <w:vAlign w:val="center"/>
          </w:tcPr>
          <w:p w14:paraId="66459BDA" w14:textId="77777777" w:rsidR="00804B54" w:rsidRPr="00EE7081" w:rsidRDefault="00804B54" w:rsidP="00F132FF">
            <w:pPr>
              <w:keepLines/>
              <w:autoSpaceDE w:val="0"/>
              <w:autoSpaceDN w:val="0"/>
              <w:spacing w:line="297" w:lineRule="exact"/>
              <w:ind w:left="107"/>
              <w:jc w:val="center"/>
              <w:rPr>
                <w:sz w:val="20"/>
                <w:szCs w:val="20"/>
              </w:rPr>
            </w:pPr>
            <w:r w:rsidRPr="00EE7081">
              <w:rPr>
                <w:sz w:val="20"/>
                <w:szCs w:val="20"/>
              </w:rPr>
              <w:t>3-6 points</w:t>
            </w:r>
          </w:p>
        </w:tc>
      </w:tr>
      <w:tr w:rsidR="00804B54" w:rsidRPr="00EE7081" w14:paraId="062349D3" w14:textId="77777777" w:rsidTr="00F132FF">
        <w:trPr>
          <w:cantSplit/>
        </w:trPr>
        <w:tc>
          <w:tcPr>
            <w:tcW w:w="8206" w:type="dxa"/>
          </w:tcPr>
          <w:p w14:paraId="126B036F" w14:textId="3E95BDBA" w:rsidR="00804B54" w:rsidRPr="00EE7081" w:rsidRDefault="00804B54" w:rsidP="00F132FF">
            <w:pPr>
              <w:keepLines/>
              <w:tabs>
                <w:tab w:val="left" w:pos="408"/>
              </w:tabs>
              <w:autoSpaceDE w:val="0"/>
              <w:autoSpaceDN w:val="0"/>
              <w:spacing w:line="293" w:lineRule="exact"/>
              <w:ind w:left="107"/>
              <w:rPr>
                <w:sz w:val="20"/>
                <w:szCs w:val="20"/>
              </w:rPr>
            </w:pPr>
            <w:r w:rsidRPr="00EE7081">
              <w:rPr>
                <w:sz w:val="20"/>
                <w:szCs w:val="20"/>
              </w:rPr>
              <w:t>Detailed description of the program’s current or planned integration of contextualized learning activities. Activities encompass a wide range of specific skills needed, including for various training programs, jobs,</w:t>
            </w:r>
            <w:r>
              <w:rPr>
                <w:sz w:val="20"/>
                <w:szCs w:val="20"/>
              </w:rPr>
              <w:t xml:space="preserve"> career pathways,</w:t>
            </w:r>
            <w:r w:rsidRPr="00EE7081">
              <w:rPr>
                <w:sz w:val="20"/>
                <w:szCs w:val="20"/>
              </w:rPr>
              <w:t xml:space="preserve"> and </w:t>
            </w:r>
            <w:r w:rsidR="0043742A">
              <w:rPr>
                <w:sz w:val="20"/>
                <w:szCs w:val="20"/>
              </w:rPr>
              <w:t>civics</w:t>
            </w:r>
            <w:r w:rsidRPr="00EE7081">
              <w:rPr>
                <w:sz w:val="20"/>
                <w:szCs w:val="20"/>
              </w:rPr>
              <w:t>. Specifically addresses how the program currently designs and provides, or plans to provide, integrated education and training programming. Provides specific examples of contextualized activities and describes the content or curriculum.</w:t>
            </w:r>
          </w:p>
        </w:tc>
        <w:tc>
          <w:tcPr>
            <w:tcW w:w="2584" w:type="dxa"/>
            <w:vAlign w:val="center"/>
          </w:tcPr>
          <w:p w14:paraId="2E6F7D36" w14:textId="77777777" w:rsidR="00804B54" w:rsidRPr="00EE7081" w:rsidRDefault="00804B54" w:rsidP="00F132FF">
            <w:pPr>
              <w:keepLines/>
              <w:tabs>
                <w:tab w:val="left" w:pos="408"/>
              </w:tabs>
              <w:autoSpaceDE w:val="0"/>
              <w:autoSpaceDN w:val="0"/>
              <w:spacing w:line="293" w:lineRule="exact"/>
              <w:ind w:left="107"/>
              <w:jc w:val="center"/>
              <w:rPr>
                <w:sz w:val="20"/>
                <w:szCs w:val="20"/>
              </w:rPr>
            </w:pPr>
            <w:r w:rsidRPr="00EE7081">
              <w:rPr>
                <w:sz w:val="20"/>
                <w:szCs w:val="20"/>
              </w:rPr>
              <w:t>7-10 points</w:t>
            </w:r>
          </w:p>
        </w:tc>
      </w:tr>
      <w:tr w:rsidR="00804B54" w:rsidRPr="00EE7081" w14:paraId="41CADADF" w14:textId="77777777" w:rsidTr="00F132FF">
        <w:trPr>
          <w:cantSplit/>
          <w:trHeight w:val="458"/>
        </w:trPr>
        <w:tc>
          <w:tcPr>
            <w:tcW w:w="8206" w:type="dxa"/>
            <w:vAlign w:val="center"/>
          </w:tcPr>
          <w:p w14:paraId="12D3E8E4" w14:textId="77777777" w:rsidR="00804B54" w:rsidRPr="00EE7081" w:rsidRDefault="00804B54" w:rsidP="00F132FF">
            <w:pPr>
              <w:keepLines/>
              <w:tabs>
                <w:tab w:val="left" w:pos="408"/>
              </w:tabs>
              <w:autoSpaceDE w:val="0"/>
              <w:autoSpaceDN w:val="0"/>
              <w:spacing w:line="293" w:lineRule="exact"/>
              <w:ind w:left="107"/>
              <w:jc w:val="right"/>
              <w:rPr>
                <w:b/>
                <w:bCs/>
                <w:w w:val="110"/>
                <w:sz w:val="20"/>
                <w:szCs w:val="20"/>
              </w:rPr>
            </w:pPr>
            <w:r w:rsidRPr="00EE7081">
              <w:rPr>
                <w:b/>
                <w:bCs/>
                <w:w w:val="110"/>
                <w:sz w:val="20"/>
                <w:szCs w:val="20"/>
              </w:rPr>
              <w:t>Score</w:t>
            </w:r>
          </w:p>
        </w:tc>
        <w:tc>
          <w:tcPr>
            <w:tcW w:w="2584" w:type="dxa"/>
            <w:vAlign w:val="center"/>
          </w:tcPr>
          <w:p w14:paraId="669A2002" w14:textId="77777777" w:rsidR="00804B54" w:rsidRPr="00EE7081" w:rsidRDefault="00804B54" w:rsidP="00F132FF">
            <w:pPr>
              <w:keepLines/>
              <w:tabs>
                <w:tab w:val="left" w:pos="408"/>
              </w:tabs>
              <w:autoSpaceDE w:val="0"/>
              <w:autoSpaceDN w:val="0"/>
              <w:spacing w:line="293" w:lineRule="exact"/>
              <w:ind w:left="107"/>
              <w:jc w:val="center"/>
              <w:rPr>
                <w:b/>
                <w:bCs/>
                <w:sz w:val="20"/>
                <w:szCs w:val="20"/>
              </w:rPr>
            </w:pPr>
            <w:r w:rsidRPr="00EE7081">
              <w:rPr>
                <w:b/>
                <w:bCs/>
                <w:sz w:val="20"/>
                <w:szCs w:val="20"/>
              </w:rPr>
              <w:t>/10 points</w:t>
            </w:r>
          </w:p>
        </w:tc>
      </w:tr>
      <w:tr w:rsidR="00804B54" w:rsidRPr="00EE7081" w14:paraId="7D904B61" w14:textId="77777777" w:rsidTr="00F132FF">
        <w:trPr>
          <w:cantSplit/>
        </w:trPr>
        <w:tc>
          <w:tcPr>
            <w:tcW w:w="10790" w:type="dxa"/>
            <w:gridSpan w:val="2"/>
          </w:tcPr>
          <w:p w14:paraId="1E3B774D" w14:textId="77777777" w:rsidR="00804B54" w:rsidRPr="00EE7081" w:rsidRDefault="00804B54" w:rsidP="00F132FF">
            <w:pPr>
              <w:keepLines/>
              <w:tabs>
                <w:tab w:val="left" w:pos="408"/>
              </w:tabs>
              <w:autoSpaceDE w:val="0"/>
              <w:autoSpaceDN w:val="0"/>
              <w:spacing w:line="293" w:lineRule="exact"/>
              <w:ind w:left="107"/>
              <w:rPr>
                <w:w w:val="110"/>
                <w:sz w:val="20"/>
                <w:szCs w:val="20"/>
              </w:rPr>
            </w:pPr>
            <w:r w:rsidRPr="00EE7081">
              <w:rPr>
                <w:b/>
                <w:bCs/>
                <w:w w:val="110"/>
                <w:sz w:val="20"/>
                <w:szCs w:val="20"/>
              </w:rPr>
              <w:t>Comments:</w:t>
            </w:r>
            <w:r w:rsidRPr="00EE7081">
              <w:rPr>
                <w:w w:val="110"/>
                <w:sz w:val="20"/>
                <w:szCs w:val="20"/>
              </w:rPr>
              <w:t xml:space="preserve"> </w:t>
            </w:r>
          </w:p>
          <w:p w14:paraId="6A5C9A17" w14:textId="77777777" w:rsidR="00804B54" w:rsidRPr="00EE7081" w:rsidRDefault="00804B54" w:rsidP="00F132FF">
            <w:pPr>
              <w:keepLines/>
              <w:tabs>
                <w:tab w:val="left" w:pos="408"/>
              </w:tabs>
              <w:autoSpaceDE w:val="0"/>
              <w:autoSpaceDN w:val="0"/>
              <w:spacing w:line="293" w:lineRule="exact"/>
              <w:ind w:left="107"/>
              <w:jc w:val="center"/>
              <w:rPr>
                <w:sz w:val="20"/>
                <w:szCs w:val="20"/>
              </w:rPr>
            </w:pPr>
          </w:p>
        </w:tc>
      </w:tr>
    </w:tbl>
    <w:p w14:paraId="1A0E4954" w14:textId="65D20B6C" w:rsidR="00804B54" w:rsidRPr="00EE7081" w:rsidRDefault="00EE7081" w:rsidP="00EA0734">
      <w:pPr>
        <w:keepLines/>
        <w:rPr>
          <w:rFonts w:eastAsiaTheme="minorHAnsi"/>
          <w:b/>
          <w:bCs/>
          <w:sz w:val="20"/>
          <w:szCs w:val="20"/>
        </w:rPr>
      </w:pPr>
      <w:r w:rsidRPr="00EE7081">
        <w:rPr>
          <w:rFonts w:eastAsiaTheme="minorHAnsi"/>
          <w:b/>
          <w:bCs/>
          <w:sz w:val="20"/>
          <w:szCs w:val="20"/>
        </w:rPr>
        <w:br w:type="page"/>
      </w:r>
    </w:p>
    <w:tbl>
      <w:tblPr>
        <w:tblStyle w:val="TableGrid1"/>
        <w:tblW w:w="0" w:type="auto"/>
        <w:tblCellMar>
          <w:top w:w="115" w:type="dxa"/>
          <w:left w:w="115" w:type="dxa"/>
          <w:bottom w:w="115" w:type="dxa"/>
          <w:right w:w="115" w:type="dxa"/>
        </w:tblCellMar>
        <w:tblLook w:val="04A0" w:firstRow="1" w:lastRow="0" w:firstColumn="1" w:lastColumn="0" w:noHBand="0" w:noVBand="1"/>
      </w:tblPr>
      <w:tblGrid>
        <w:gridCol w:w="7054"/>
        <w:gridCol w:w="2296"/>
      </w:tblGrid>
      <w:tr w:rsidR="008D2C16" w:rsidRPr="00EE7081" w14:paraId="1B999DD1" w14:textId="77777777" w:rsidTr="008D2C16">
        <w:trPr>
          <w:cantSplit/>
          <w:trHeight w:val="377"/>
        </w:trPr>
        <w:tc>
          <w:tcPr>
            <w:tcW w:w="10790" w:type="dxa"/>
            <w:gridSpan w:val="2"/>
            <w:shd w:val="clear" w:color="auto" w:fill="17365D" w:themeFill="text2" w:themeFillShade="BF"/>
            <w:vAlign w:val="center"/>
          </w:tcPr>
          <w:p w14:paraId="56307231" w14:textId="15BFD189" w:rsidR="008D2C16" w:rsidRPr="00EE7081" w:rsidRDefault="008D2C16" w:rsidP="00EA0734">
            <w:pPr>
              <w:keepLines/>
              <w:autoSpaceDE w:val="0"/>
              <w:autoSpaceDN w:val="0"/>
              <w:spacing w:line="299" w:lineRule="exact"/>
              <w:ind w:left="101"/>
              <w:jc w:val="center"/>
              <w:rPr>
                <w:b/>
                <w:bCs/>
              </w:rPr>
            </w:pPr>
            <w:bookmarkStart w:id="61" w:name="_Hlk56681143"/>
            <w:r w:rsidRPr="00EE7081">
              <w:rPr>
                <w:b/>
                <w:bCs/>
              </w:rPr>
              <w:lastRenderedPageBreak/>
              <w:t xml:space="preserve">PART </w:t>
            </w:r>
            <w:r w:rsidR="00804B54">
              <w:rPr>
                <w:b/>
                <w:bCs/>
              </w:rPr>
              <w:t>10</w:t>
            </w:r>
            <w:r w:rsidR="003A10A3">
              <w:rPr>
                <w:b/>
                <w:bCs/>
              </w:rPr>
              <w:t xml:space="preserve">: CROSS-AGENCY COLLABORATION </w:t>
            </w:r>
            <w:r w:rsidRPr="00EE7081">
              <w:rPr>
                <w:b/>
                <w:bCs/>
              </w:rPr>
              <w:t>– 10 points possible</w:t>
            </w:r>
          </w:p>
        </w:tc>
      </w:tr>
      <w:tr w:rsidR="008D2C16" w:rsidRPr="00EE7081" w14:paraId="5D198107" w14:textId="77777777" w:rsidTr="008D2C16">
        <w:trPr>
          <w:cantSplit/>
          <w:trHeight w:val="377"/>
        </w:trPr>
        <w:tc>
          <w:tcPr>
            <w:tcW w:w="10790" w:type="dxa"/>
            <w:gridSpan w:val="2"/>
            <w:shd w:val="clear" w:color="auto" w:fill="DBE5F1" w:themeFill="accent1" w:themeFillTint="33"/>
            <w:vAlign w:val="center"/>
          </w:tcPr>
          <w:p w14:paraId="6F48107F" w14:textId="77777777" w:rsidR="008D2C16" w:rsidRPr="00EE7081" w:rsidRDefault="008D2C16" w:rsidP="00EA0734">
            <w:pPr>
              <w:keepLines/>
              <w:autoSpaceDE w:val="0"/>
              <w:autoSpaceDN w:val="0"/>
              <w:spacing w:line="299" w:lineRule="exact"/>
              <w:ind w:left="101"/>
              <w:rPr>
                <w:sz w:val="20"/>
                <w:szCs w:val="20"/>
                <w:lang w:bidi="en-US"/>
              </w:rPr>
            </w:pPr>
            <w:r w:rsidRPr="00EE7081">
              <w:rPr>
                <w:sz w:val="20"/>
                <w:szCs w:val="20"/>
                <w:lang w:bidi="en-US"/>
              </w:rPr>
              <w:t>Describe any cooperative arrangements the eligible provider has with other agencies, institutions, or organizations for the delivery of adult education and literacy activities. (See Required Information 2.)</w:t>
            </w:r>
          </w:p>
          <w:p w14:paraId="3AADD378" w14:textId="77777777" w:rsidR="008D2C16" w:rsidRPr="00EE7081" w:rsidRDefault="008D2C16" w:rsidP="00EA0734">
            <w:pPr>
              <w:keepLines/>
              <w:autoSpaceDE w:val="0"/>
              <w:autoSpaceDN w:val="0"/>
              <w:spacing w:line="299" w:lineRule="exact"/>
              <w:ind w:left="101"/>
              <w:rPr>
                <w:sz w:val="20"/>
                <w:szCs w:val="20"/>
                <w:lang w:bidi="en-US"/>
              </w:rPr>
            </w:pPr>
          </w:p>
          <w:p w14:paraId="39967BD6" w14:textId="77777777" w:rsidR="008D2C16" w:rsidRPr="00EE7081" w:rsidRDefault="008D2C16" w:rsidP="00EA0734">
            <w:pPr>
              <w:keepLines/>
              <w:autoSpaceDE w:val="0"/>
              <w:autoSpaceDN w:val="0"/>
              <w:spacing w:line="299" w:lineRule="exact"/>
              <w:ind w:left="101"/>
              <w:rPr>
                <w:sz w:val="20"/>
                <w:szCs w:val="20"/>
              </w:rPr>
            </w:pPr>
            <w:r w:rsidRPr="00EE7081">
              <w:rPr>
                <w:sz w:val="20"/>
                <w:szCs w:val="20"/>
                <w:lang w:bidi="en-US"/>
              </w:rPr>
              <w:t>Also address whether the eligible provider’s activities coordinate with other available education, training, and social service resources in the community, such as by establishing strong links with elementary schools and secondary schools, postsecondary educational institutions, institutions of higher education, local workforce development boards, one-stop centers, job training programs, and social service agencies, business, industry, labor organizations, community-based organizations, nonprofit organizations, and intermediaries, for the develop</w:t>
            </w:r>
            <w:r w:rsidRPr="00EE7081">
              <w:rPr>
                <w:sz w:val="20"/>
                <w:szCs w:val="20"/>
                <w:lang w:bidi="en-US"/>
              </w:rPr>
              <w:softHyphen/>
              <w:t>ment of career pathways. (See Consideration 10.)</w:t>
            </w:r>
          </w:p>
        </w:tc>
      </w:tr>
      <w:tr w:rsidR="008D2C16" w:rsidRPr="00EE7081" w14:paraId="2899D35E" w14:textId="77777777" w:rsidTr="008D2C16">
        <w:trPr>
          <w:cantSplit/>
          <w:trHeight w:val="377"/>
        </w:trPr>
        <w:tc>
          <w:tcPr>
            <w:tcW w:w="8206" w:type="dxa"/>
            <w:vAlign w:val="center"/>
          </w:tcPr>
          <w:p w14:paraId="3677E3E7" w14:textId="512504C4" w:rsidR="008D2C16" w:rsidRPr="00EE7081" w:rsidRDefault="00561FF7" w:rsidP="00EA0734">
            <w:pPr>
              <w:keepLines/>
              <w:autoSpaceDE w:val="0"/>
              <w:autoSpaceDN w:val="0"/>
              <w:spacing w:line="299" w:lineRule="exact"/>
              <w:ind w:left="107"/>
              <w:rPr>
                <w:sz w:val="20"/>
                <w:szCs w:val="20"/>
              </w:rPr>
            </w:pPr>
            <w:r>
              <w:rPr>
                <w:w w:val="110"/>
                <w:sz w:val="20"/>
                <w:szCs w:val="20"/>
              </w:rPr>
              <w:t>No</w:t>
            </w:r>
            <w:r w:rsidR="008D2C16" w:rsidRPr="00EE7081">
              <w:rPr>
                <w:w w:val="110"/>
                <w:sz w:val="20"/>
                <w:szCs w:val="20"/>
              </w:rPr>
              <w:t xml:space="preserve"> or poor description of cooperative agreements or coordination with other </w:t>
            </w:r>
            <w:r w:rsidR="00AC7125">
              <w:rPr>
                <w:w w:val="110"/>
                <w:sz w:val="20"/>
                <w:szCs w:val="20"/>
              </w:rPr>
              <w:t xml:space="preserve">education and workforce </w:t>
            </w:r>
            <w:r w:rsidR="008D2C16" w:rsidRPr="00EE7081">
              <w:rPr>
                <w:w w:val="110"/>
                <w:sz w:val="20"/>
                <w:szCs w:val="20"/>
              </w:rPr>
              <w:t>agencies. Addresses primarily hypotheticals and not already-established agreements.</w:t>
            </w:r>
          </w:p>
        </w:tc>
        <w:tc>
          <w:tcPr>
            <w:tcW w:w="2584" w:type="dxa"/>
            <w:vAlign w:val="center"/>
          </w:tcPr>
          <w:p w14:paraId="306EE026" w14:textId="77777777" w:rsidR="008D2C16" w:rsidRPr="00EE7081" w:rsidRDefault="008D2C16" w:rsidP="00EA0734">
            <w:pPr>
              <w:keepLines/>
              <w:autoSpaceDE w:val="0"/>
              <w:autoSpaceDN w:val="0"/>
              <w:spacing w:line="299" w:lineRule="exact"/>
              <w:ind w:left="107"/>
              <w:jc w:val="center"/>
              <w:rPr>
                <w:sz w:val="20"/>
                <w:szCs w:val="20"/>
              </w:rPr>
            </w:pPr>
            <w:r w:rsidRPr="00EE7081">
              <w:rPr>
                <w:sz w:val="20"/>
                <w:szCs w:val="20"/>
              </w:rPr>
              <w:t>0-2 points</w:t>
            </w:r>
          </w:p>
        </w:tc>
      </w:tr>
      <w:tr w:rsidR="008D2C16" w:rsidRPr="00EE7081" w14:paraId="29B13C21" w14:textId="77777777" w:rsidTr="008D2C16">
        <w:trPr>
          <w:cantSplit/>
          <w:trHeight w:val="440"/>
        </w:trPr>
        <w:tc>
          <w:tcPr>
            <w:tcW w:w="8206" w:type="dxa"/>
            <w:vAlign w:val="center"/>
          </w:tcPr>
          <w:p w14:paraId="304E9484" w14:textId="691B7C85" w:rsidR="008D2C16" w:rsidRPr="00EE7081" w:rsidRDefault="008D2C16" w:rsidP="00EA0734">
            <w:pPr>
              <w:keepLines/>
              <w:autoSpaceDE w:val="0"/>
              <w:autoSpaceDN w:val="0"/>
              <w:spacing w:line="297" w:lineRule="exact"/>
              <w:ind w:left="107"/>
              <w:rPr>
                <w:sz w:val="20"/>
                <w:szCs w:val="20"/>
              </w:rPr>
            </w:pPr>
            <w:r w:rsidRPr="00EE7081">
              <w:rPr>
                <w:w w:val="110"/>
                <w:sz w:val="20"/>
                <w:szCs w:val="20"/>
              </w:rPr>
              <w:t xml:space="preserve">Brief, generic description of cooperative agreements or coordination with other </w:t>
            </w:r>
            <w:r w:rsidR="00AC7125">
              <w:rPr>
                <w:w w:val="110"/>
                <w:sz w:val="20"/>
                <w:szCs w:val="20"/>
              </w:rPr>
              <w:t xml:space="preserve">education and workforce </w:t>
            </w:r>
            <w:r w:rsidRPr="00EE7081">
              <w:rPr>
                <w:w w:val="110"/>
                <w:sz w:val="20"/>
                <w:szCs w:val="20"/>
              </w:rPr>
              <w:t>agencies. Only a few links with other organizations are already established.</w:t>
            </w:r>
            <w:r w:rsidR="00063E59">
              <w:rPr>
                <w:w w:val="110"/>
                <w:sz w:val="20"/>
                <w:szCs w:val="20"/>
              </w:rPr>
              <w:t xml:space="preserve"> Some cross-agency collaboration exists for developing career pathways, but it is not very robust or well established.</w:t>
            </w:r>
          </w:p>
        </w:tc>
        <w:tc>
          <w:tcPr>
            <w:tcW w:w="2584" w:type="dxa"/>
            <w:vAlign w:val="center"/>
          </w:tcPr>
          <w:p w14:paraId="51A45DD9" w14:textId="77777777" w:rsidR="008D2C16" w:rsidRPr="00EE7081" w:rsidRDefault="008D2C16" w:rsidP="00EA0734">
            <w:pPr>
              <w:keepLines/>
              <w:autoSpaceDE w:val="0"/>
              <w:autoSpaceDN w:val="0"/>
              <w:spacing w:line="297" w:lineRule="exact"/>
              <w:ind w:left="107"/>
              <w:jc w:val="center"/>
              <w:rPr>
                <w:sz w:val="20"/>
                <w:szCs w:val="20"/>
              </w:rPr>
            </w:pPr>
            <w:r w:rsidRPr="00EE7081">
              <w:rPr>
                <w:sz w:val="20"/>
                <w:szCs w:val="20"/>
              </w:rPr>
              <w:t>3-6 points</w:t>
            </w:r>
          </w:p>
        </w:tc>
      </w:tr>
      <w:tr w:rsidR="008D2C16" w:rsidRPr="00EE7081" w14:paraId="54C6E950" w14:textId="77777777" w:rsidTr="008D2C16">
        <w:trPr>
          <w:cantSplit/>
        </w:trPr>
        <w:tc>
          <w:tcPr>
            <w:tcW w:w="8206" w:type="dxa"/>
            <w:vAlign w:val="center"/>
          </w:tcPr>
          <w:p w14:paraId="0F5C7FDB" w14:textId="6C08FD89" w:rsidR="008D2C16" w:rsidRPr="00EE7081" w:rsidRDefault="008D2C16" w:rsidP="00EA0734">
            <w:pPr>
              <w:keepLines/>
              <w:tabs>
                <w:tab w:val="left" w:pos="408"/>
              </w:tabs>
              <w:autoSpaceDE w:val="0"/>
              <w:autoSpaceDN w:val="0"/>
              <w:spacing w:line="293" w:lineRule="exact"/>
              <w:ind w:left="107"/>
              <w:rPr>
                <w:sz w:val="20"/>
                <w:szCs w:val="20"/>
              </w:rPr>
            </w:pPr>
            <w:r w:rsidRPr="00EE7081">
              <w:rPr>
                <w:w w:val="110"/>
                <w:sz w:val="20"/>
                <w:szCs w:val="20"/>
              </w:rPr>
              <w:t xml:space="preserve">Detailed description of cooperative agreements and coordination with other </w:t>
            </w:r>
            <w:r w:rsidR="00AC7125">
              <w:rPr>
                <w:w w:val="110"/>
                <w:sz w:val="20"/>
                <w:szCs w:val="20"/>
              </w:rPr>
              <w:t xml:space="preserve">education and workforce </w:t>
            </w:r>
            <w:r w:rsidRPr="00EE7081">
              <w:rPr>
                <w:w w:val="110"/>
                <w:sz w:val="20"/>
                <w:szCs w:val="20"/>
              </w:rPr>
              <w:t>agencies. Several links with other organizations are already established and results are described.</w:t>
            </w:r>
            <w:r w:rsidR="00063E59">
              <w:rPr>
                <w:w w:val="110"/>
                <w:sz w:val="20"/>
                <w:szCs w:val="20"/>
              </w:rPr>
              <w:t xml:space="preserve"> Regular </w:t>
            </w:r>
            <w:r w:rsidR="00AC7125">
              <w:rPr>
                <w:w w:val="110"/>
                <w:sz w:val="20"/>
                <w:szCs w:val="20"/>
              </w:rPr>
              <w:t xml:space="preserve">and robust </w:t>
            </w:r>
            <w:r w:rsidR="00063E59">
              <w:rPr>
                <w:w w:val="110"/>
                <w:sz w:val="20"/>
                <w:szCs w:val="20"/>
              </w:rPr>
              <w:t>cross-agency collaboration exists for developing career pathways</w:t>
            </w:r>
            <w:r w:rsidR="00AC7125">
              <w:rPr>
                <w:w w:val="110"/>
                <w:sz w:val="20"/>
                <w:szCs w:val="20"/>
              </w:rPr>
              <w:t>.</w:t>
            </w:r>
            <w:r w:rsidR="00682D65">
              <w:rPr>
                <w:w w:val="110"/>
                <w:sz w:val="20"/>
                <w:szCs w:val="20"/>
              </w:rPr>
              <w:t xml:space="preserve"> </w:t>
            </w:r>
          </w:p>
        </w:tc>
        <w:tc>
          <w:tcPr>
            <w:tcW w:w="2584" w:type="dxa"/>
            <w:vAlign w:val="center"/>
          </w:tcPr>
          <w:p w14:paraId="6AA19B12" w14:textId="77777777" w:rsidR="008D2C16" w:rsidRPr="00EE7081" w:rsidRDefault="008D2C16" w:rsidP="00EA0734">
            <w:pPr>
              <w:keepLines/>
              <w:tabs>
                <w:tab w:val="left" w:pos="408"/>
              </w:tabs>
              <w:autoSpaceDE w:val="0"/>
              <w:autoSpaceDN w:val="0"/>
              <w:spacing w:line="293" w:lineRule="exact"/>
              <w:ind w:left="107"/>
              <w:jc w:val="center"/>
              <w:rPr>
                <w:sz w:val="20"/>
                <w:szCs w:val="20"/>
              </w:rPr>
            </w:pPr>
            <w:r w:rsidRPr="00EE7081">
              <w:rPr>
                <w:sz w:val="20"/>
                <w:szCs w:val="20"/>
              </w:rPr>
              <w:t>7-10 points</w:t>
            </w:r>
          </w:p>
        </w:tc>
      </w:tr>
      <w:tr w:rsidR="008D2C16" w:rsidRPr="00EE7081" w14:paraId="1BD89249" w14:textId="77777777" w:rsidTr="008D2C16">
        <w:trPr>
          <w:cantSplit/>
          <w:trHeight w:val="458"/>
        </w:trPr>
        <w:tc>
          <w:tcPr>
            <w:tcW w:w="8206" w:type="dxa"/>
            <w:vAlign w:val="center"/>
          </w:tcPr>
          <w:p w14:paraId="6DF191DA" w14:textId="77777777" w:rsidR="008D2C16" w:rsidRPr="00EE7081" w:rsidRDefault="008D2C16" w:rsidP="00EA0734">
            <w:pPr>
              <w:keepLines/>
              <w:tabs>
                <w:tab w:val="left" w:pos="408"/>
              </w:tabs>
              <w:autoSpaceDE w:val="0"/>
              <w:autoSpaceDN w:val="0"/>
              <w:spacing w:line="293" w:lineRule="exact"/>
              <w:ind w:left="107"/>
              <w:jc w:val="right"/>
              <w:rPr>
                <w:b/>
                <w:bCs/>
                <w:w w:val="110"/>
                <w:sz w:val="20"/>
                <w:szCs w:val="20"/>
              </w:rPr>
            </w:pPr>
            <w:r w:rsidRPr="00EE7081">
              <w:rPr>
                <w:b/>
                <w:bCs/>
                <w:w w:val="110"/>
                <w:sz w:val="20"/>
                <w:szCs w:val="20"/>
              </w:rPr>
              <w:t>Score</w:t>
            </w:r>
          </w:p>
        </w:tc>
        <w:tc>
          <w:tcPr>
            <w:tcW w:w="2584" w:type="dxa"/>
            <w:vAlign w:val="center"/>
          </w:tcPr>
          <w:p w14:paraId="677558B2" w14:textId="77777777" w:rsidR="008D2C16" w:rsidRPr="00EE7081" w:rsidRDefault="008D2C16" w:rsidP="00EA0734">
            <w:pPr>
              <w:keepLines/>
              <w:tabs>
                <w:tab w:val="left" w:pos="408"/>
              </w:tabs>
              <w:autoSpaceDE w:val="0"/>
              <w:autoSpaceDN w:val="0"/>
              <w:spacing w:line="293" w:lineRule="exact"/>
              <w:ind w:left="107"/>
              <w:jc w:val="center"/>
              <w:rPr>
                <w:b/>
                <w:bCs/>
                <w:sz w:val="20"/>
                <w:szCs w:val="20"/>
              </w:rPr>
            </w:pPr>
            <w:r w:rsidRPr="00EE7081">
              <w:rPr>
                <w:b/>
                <w:bCs/>
                <w:sz w:val="20"/>
                <w:szCs w:val="20"/>
              </w:rPr>
              <w:t>/10 points</w:t>
            </w:r>
          </w:p>
        </w:tc>
      </w:tr>
      <w:tr w:rsidR="008D2C16" w:rsidRPr="00EE7081" w14:paraId="3B4231A7" w14:textId="77777777" w:rsidTr="008D2C16">
        <w:trPr>
          <w:cantSplit/>
        </w:trPr>
        <w:tc>
          <w:tcPr>
            <w:tcW w:w="10790" w:type="dxa"/>
            <w:gridSpan w:val="2"/>
          </w:tcPr>
          <w:p w14:paraId="5E70CA64" w14:textId="77777777" w:rsidR="008D2C16" w:rsidRPr="00EE7081" w:rsidRDefault="008D2C16" w:rsidP="00EA0734">
            <w:pPr>
              <w:keepLines/>
              <w:tabs>
                <w:tab w:val="left" w:pos="408"/>
              </w:tabs>
              <w:autoSpaceDE w:val="0"/>
              <w:autoSpaceDN w:val="0"/>
              <w:spacing w:line="293" w:lineRule="exact"/>
              <w:ind w:left="107"/>
              <w:rPr>
                <w:w w:val="110"/>
                <w:sz w:val="20"/>
                <w:szCs w:val="20"/>
              </w:rPr>
            </w:pPr>
            <w:r w:rsidRPr="00EE7081">
              <w:rPr>
                <w:b/>
                <w:bCs/>
                <w:w w:val="110"/>
                <w:sz w:val="20"/>
                <w:szCs w:val="20"/>
              </w:rPr>
              <w:t>Comments:</w:t>
            </w:r>
            <w:r w:rsidRPr="00EE7081">
              <w:rPr>
                <w:w w:val="110"/>
                <w:sz w:val="20"/>
                <w:szCs w:val="20"/>
              </w:rPr>
              <w:t xml:space="preserve"> </w:t>
            </w:r>
          </w:p>
          <w:p w14:paraId="2811504C" w14:textId="77777777" w:rsidR="008D2C16" w:rsidRPr="00EE7081" w:rsidRDefault="008D2C16" w:rsidP="00EA0734">
            <w:pPr>
              <w:keepLines/>
              <w:tabs>
                <w:tab w:val="left" w:pos="408"/>
              </w:tabs>
              <w:autoSpaceDE w:val="0"/>
              <w:autoSpaceDN w:val="0"/>
              <w:spacing w:line="293" w:lineRule="exact"/>
              <w:ind w:left="107"/>
              <w:jc w:val="center"/>
              <w:rPr>
                <w:sz w:val="20"/>
                <w:szCs w:val="20"/>
              </w:rPr>
            </w:pPr>
          </w:p>
        </w:tc>
      </w:tr>
      <w:bookmarkEnd w:id="61"/>
    </w:tbl>
    <w:p w14:paraId="7577966D" w14:textId="77777777" w:rsidR="00EE7081" w:rsidRPr="00EE7081" w:rsidRDefault="00EE7081" w:rsidP="00EA0734">
      <w:pPr>
        <w:keepLines/>
        <w:autoSpaceDE w:val="0"/>
        <w:autoSpaceDN w:val="0"/>
        <w:rPr>
          <w:rFonts w:eastAsiaTheme="minorHAnsi"/>
          <w:b/>
          <w:bCs/>
          <w:sz w:val="20"/>
          <w:szCs w:val="20"/>
        </w:rPr>
      </w:pPr>
    </w:p>
    <w:p w14:paraId="42A0EF4A" w14:textId="77777777" w:rsidR="00EE7081" w:rsidRPr="00EE7081" w:rsidRDefault="00EE7081" w:rsidP="00EA0734">
      <w:pPr>
        <w:keepLines/>
        <w:rPr>
          <w:rFonts w:eastAsiaTheme="minorHAnsi"/>
          <w:b/>
          <w:bCs/>
          <w:sz w:val="20"/>
          <w:szCs w:val="20"/>
        </w:rPr>
      </w:pPr>
      <w:r w:rsidRPr="00EE7081">
        <w:rPr>
          <w:rFonts w:eastAsiaTheme="minorHAnsi"/>
          <w:b/>
          <w:bCs/>
          <w:sz w:val="20"/>
          <w:szCs w:val="20"/>
        </w:rPr>
        <w:br w:type="page"/>
      </w:r>
    </w:p>
    <w:tbl>
      <w:tblPr>
        <w:tblStyle w:val="TableGrid1"/>
        <w:tblW w:w="0" w:type="auto"/>
        <w:tblCellMar>
          <w:top w:w="115" w:type="dxa"/>
          <w:left w:w="115" w:type="dxa"/>
          <w:bottom w:w="115" w:type="dxa"/>
          <w:right w:w="115" w:type="dxa"/>
        </w:tblCellMar>
        <w:tblLook w:val="04A0" w:firstRow="1" w:lastRow="0" w:firstColumn="1" w:lastColumn="0" w:noHBand="0" w:noVBand="1"/>
      </w:tblPr>
      <w:tblGrid>
        <w:gridCol w:w="7060"/>
        <w:gridCol w:w="2290"/>
      </w:tblGrid>
      <w:tr w:rsidR="008D2C16" w:rsidRPr="00EE7081" w14:paraId="3D2B5BC5" w14:textId="77777777" w:rsidTr="00DF02BB">
        <w:trPr>
          <w:cantSplit/>
          <w:trHeight w:val="377"/>
        </w:trPr>
        <w:tc>
          <w:tcPr>
            <w:tcW w:w="9350" w:type="dxa"/>
            <w:gridSpan w:val="2"/>
            <w:shd w:val="clear" w:color="auto" w:fill="17365D" w:themeFill="text2" w:themeFillShade="BF"/>
            <w:vAlign w:val="center"/>
          </w:tcPr>
          <w:p w14:paraId="07D2CDBC" w14:textId="0F507F82" w:rsidR="008D2C16" w:rsidRPr="00EE7081" w:rsidRDefault="008D2C16" w:rsidP="00EA0734">
            <w:pPr>
              <w:keepLines/>
              <w:autoSpaceDE w:val="0"/>
              <w:autoSpaceDN w:val="0"/>
              <w:spacing w:line="299" w:lineRule="exact"/>
              <w:ind w:left="101"/>
              <w:jc w:val="center"/>
              <w:rPr>
                <w:b/>
                <w:bCs/>
              </w:rPr>
            </w:pPr>
            <w:r w:rsidRPr="00EE7081">
              <w:rPr>
                <w:b/>
                <w:bCs/>
              </w:rPr>
              <w:lastRenderedPageBreak/>
              <w:t xml:space="preserve">PART </w:t>
            </w:r>
            <w:r w:rsidR="00804B54">
              <w:rPr>
                <w:b/>
                <w:bCs/>
              </w:rPr>
              <w:t>11</w:t>
            </w:r>
            <w:r w:rsidR="003A10A3">
              <w:rPr>
                <w:b/>
                <w:bCs/>
              </w:rPr>
              <w:t>: LOCAL PLAN ALIGNMENT</w:t>
            </w:r>
            <w:r w:rsidRPr="00EE7081">
              <w:rPr>
                <w:b/>
                <w:bCs/>
              </w:rPr>
              <w:t xml:space="preserve"> – 10 points possible</w:t>
            </w:r>
          </w:p>
        </w:tc>
      </w:tr>
      <w:tr w:rsidR="008D2C16" w:rsidRPr="00EE7081" w14:paraId="7F4B99C2" w14:textId="77777777" w:rsidTr="00DF02BB">
        <w:trPr>
          <w:cantSplit/>
          <w:trHeight w:val="377"/>
        </w:trPr>
        <w:tc>
          <w:tcPr>
            <w:tcW w:w="9350" w:type="dxa"/>
            <w:gridSpan w:val="2"/>
            <w:shd w:val="clear" w:color="auto" w:fill="DBE5F1" w:themeFill="accent1" w:themeFillTint="33"/>
            <w:vAlign w:val="center"/>
          </w:tcPr>
          <w:p w14:paraId="436C706E" w14:textId="6382BF7A" w:rsidR="008D2C16" w:rsidRPr="00EE7081" w:rsidRDefault="008D2C16" w:rsidP="00EA0734">
            <w:pPr>
              <w:keepLines/>
              <w:autoSpaceDE w:val="0"/>
              <w:autoSpaceDN w:val="0"/>
              <w:spacing w:line="299" w:lineRule="exact"/>
              <w:ind w:left="101"/>
              <w:rPr>
                <w:sz w:val="20"/>
                <w:szCs w:val="20"/>
                <w:lang w:bidi="en-US"/>
              </w:rPr>
            </w:pPr>
            <w:r w:rsidRPr="00EE7081">
              <w:rPr>
                <w:sz w:val="20"/>
                <w:szCs w:val="20"/>
                <w:lang w:bidi="en-US"/>
              </w:rPr>
              <w:t>Describe how the eligible provider will provide services in alignment with the local workforce development plan, including how such provider will promote concurrent enrollment in programs and activities under</w:t>
            </w:r>
            <w:r w:rsidR="00E52E84">
              <w:rPr>
                <w:sz w:val="20"/>
                <w:szCs w:val="20"/>
                <w:lang w:bidi="en-US"/>
              </w:rPr>
              <w:t xml:space="preserve"> Title I</w:t>
            </w:r>
            <w:r w:rsidRPr="00EE7081">
              <w:rPr>
                <w:sz w:val="20"/>
                <w:szCs w:val="20"/>
                <w:lang w:bidi="en-US"/>
              </w:rPr>
              <w:t>, as appropriate. (See Required Information 3.)</w:t>
            </w:r>
          </w:p>
          <w:p w14:paraId="3221F9F6" w14:textId="77777777" w:rsidR="008D2C16" w:rsidRPr="00EE7081" w:rsidRDefault="008D2C16" w:rsidP="00EA0734">
            <w:pPr>
              <w:keepLines/>
              <w:autoSpaceDE w:val="0"/>
              <w:autoSpaceDN w:val="0"/>
              <w:spacing w:line="299" w:lineRule="exact"/>
              <w:ind w:left="101"/>
              <w:rPr>
                <w:sz w:val="20"/>
                <w:szCs w:val="20"/>
                <w:lang w:bidi="en-US"/>
              </w:rPr>
            </w:pPr>
          </w:p>
          <w:p w14:paraId="5C7F2F94" w14:textId="77777777" w:rsidR="008D2C16" w:rsidRPr="00EE7081" w:rsidRDefault="008D2C16" w:rsidP="00EA0734">
            <w:pPr>
              <w:keepLines/>
              <w:autoSpaceDE w:val="0"/>
              <w:autoSpaceDN w:val="0"/>
              <w:spacing w:line="299" w:lineRule="exact"/>
              <w:ind w:left="101"/>
              <w:rPr>
                <w:sz w:val="20"/>
                <w:szCs w:val="20"/>
                <w:lang w:bidi="en-US"/>
              </w:rPr>
            </w:pPr>
            <w:r w:rsidRPr="00EE7081">
              <w:rPr>
                <w:sz w:val="20"/>
                <w:szCs w:val="20"/>
                <w:lang w:bidi="en-US"/>
              </w:rPr>
              <w:t>Also address the degree to which the eligible provider would be responsive to regional needs as identified in the local workforce development plan. (See Consideration 1(A).)</w:t>
            </w:r>
          </w:p>
          <w:p w14:paraId="1651191C" w14:textId="77777777" w:rsidR="008D2C16" w:rsidRPr="00EE7081" w:rsidRDefault="008D2C16" w:rsidP="00EA0734">
            <w:pPr>
              <w:keepLines/>
              <w:autoSpaceDE w:val="0"/>
              <w:autoSpaceDN w:val="0"/>
              <w:spacing w:line="299" w:lineRule="exact"/>
              <w:ind w:left="101"/>
              <w:rPr>
                <w:sz w:val="20"/>
                <w:szCs w:val="20"/>
                <w:lang w:bidi="en-US"/>
              </w:rPr>
            </w:pPr>
          </w:p>
          <w:p w14:paraId="403D0091" w14:textId="77777777" w:rsidR="008D2C16" w:rsidRPr="00EE7081" w:rsidRDefault="008D2C16" w:rsidP="00EA0734">
            <w:pPr>
              <w:keepLines/>
              <w:autoSpaceDE w:val="0"/>
              <w:autoSpaceDN w:val="0"/>
              <w:spacing w:line="299" w:lineRule="exact"/>
              <w:ind w:left="101"/>
              <w:rPr>
                <w:sz w:val="20"/>
                <w:szCs w:val="20"/>
              </w:rPr>
            </w:pPr>
            <w:r w:rsidRPr="00EE7081">
              <w:rPr>
                <w:sz w:val="20"/>
                <w:szCs w:val="20"/>
                <w:lang w:bidi="en-US"/>
              </w:rPr>
              <w:t>Also address the extent to which the eligible provider demonstrates alignment between proposed activities and services and the strategy and goals of the local workforce development plan, as well as the activities and services of the one-stop partners. (See Consideration 4.)</w:t>
            </w:r>
          </w:p>
        </w:tc>
      </w:tr>
      <w:tr w:rsidR="00DF02BB" w:rsidRPr="00EE7081" w14:paraId="5E58305F" w14:textId="77777777" w:rsidTr="00DF02BB">
        <w:trPr>
          <w:cantSplit/>
          <w:trHeight w:val="377"/>
        </w:trPr>
        <w:tc>
          <w:tcPr>
            <w:tcW w:w="7060" w:type="dxa"/>
            <w:vAlign w:val="center"/>
          </w:tcPr>
          <w:p w14:paraId="12569493" w14:textId="4AC1206A" w:rsidR="00DF02BB" w:rsidRPr="00EE7081" w:rsidRDefault="00DF02BB" w:rsidP="00DF02BB">
            <w:pPr>
              <w:keepLines/>
              <w:autoSpaceDE w:val="0"/>
              <w:autoSpaceDN w:val="0"/>
              <w:spacing w:line="299" w:lineRule="exact"/>
              <w:ind w:left="107"/>
              <w:rPr>
                <w:sz w:val="20"/>
                <w:szCs w:val="20"/>
              </w:rPr>
            </w:pPr>
            <w:r>
              <w:rPr>
                <w:w w:val="110"/>
                <w:sz w:val="20"/>
                <w:szCs w:val="20"/>
              </w:rPr>
              <w:t>No</w:t>
            </w:r>
            <w:r w:rsidRPr="00EE7081">
              <w:rPr>
                <w:w w:val="110"/>
                <w:sz w:val="20"/>
                <w:szCs w:val="20"/>
              </w:rPr>
              <w:t xml:space="preserve"> or poor description of plans to co-enroll students with Title I services, align with the local plan, and provide services to meet the workforce needs and goals of the local area. Demonstrates little to </w:t>
            </w:r>
            <w:r>
              <w:rPr>
                <w:w w:val="110"/>
                <w:sz w:val="20"/>
                <w:szCs w:val="20"/>
              </w:rPr>
              <w:t>no</w:t>
            </w:r>
            <w:r w:rsidRPr="00EE7081">
              <w:rPr>
                <w:w w:val="110"/>
                <w:sz w:val="20"/>
                <w:szCs w:val="20"/>
              </w:rPr>
              <w:t xml:space="preserve"> knowledge of the local plan and one-stop partners and services in their area.</w:t>
            </w:r>
          </w:p>
        </w:tc>
        <w:tc>
          <w:tcPr>
            <w:tcW w:w="2290" w:type="dxa"/>
            <w:vAlign w:val="center"/>
          </w:tcPr>
          <w:p w14:paraId="1E8E90DD" w14:textId="77777777" w:rsidR="00DF02BB" w:rsidRPr="00EE7081" w:rsidRDefault="00DF02BB" w:rsidP="00DF02BB">
            <w:pPr>
              <w:keepLines/>
              <w:autoSpaceDE w:val="0"/>
              <w:autoSpaceDN w:val="0"/>
              <w:spacing w:line="299" w:lineRule="exact"/>
              <w:ind w:left="107"/>
              <w:jc w:val="center"/>
              <w:rPr>
                <w:sz w:val="20"/>
                <w:szCs w:val="20"/>
              </w:rPr>
            </w:pPr>
            <w:r w:rsidRPr="00EE7081">
              <w:rPr>
                <w:sz w:val="20"/>
                <w:szCs w:val="20"/>
              </w:rPr>
              <w:t>0-2 points</w:t>
            </w:r>
          </w:p>
        </w:tc>
      </w:tr>
      <w:tr w:rsidR="007F5C16" w:rsidRPr="00EE7081" w14:paraId="032053F4" w14:textId="77777777" w:rsidTr="00DF02BB">
        <w:trPr>
          <w:cantSplit/>
          <w:trHeight w:val="440"/>
        </w:trPr>
        <w:tc>
          <w:tcPr>
            <w:tcW w:w="7060" w:type="dxa"/>
            <w:vAlign w:val="center"/>
          </w:tcPr>
          <w:p w14:paraId="78448E4A" w14:textId="0B16E127" w:rsidR="007F5C16" w:rsidRPr="00EE7081" w:rsidRDefault="007F5C16" w:rsidP="007F5C16">
            <w:pPr>
              <w:keepLines/>
              <w:autoSpaceDE w:val="0"/>
              <w:autoSpaceDN w:val="0"/>
              <w:spacing w:line="297" w:lineRule="exact"/>
              <w:ind w:left="107"/>
              <w:rPr>
                <w:sz w:val="20"/>
                <w:szCs w:val="20"/>
              </w:rPr>
            </w:pPr>
            <w:r w:rsidRPr="00EE7081">
              <w:rPr>
                <w:w w:val="110"/>
                <w:sz w:val="20"/>
                <w:szCs w:val="20"/>
              </w:rPr>
              <w:t>Brief or generic description of plans to co-enroll students with Title I services, align with the local plan, and provide services to meet the workforce needs and goals of the local area. Demonstrates some knowledge of the local plan and one-stop partners and services in their area.</w:t>
            </w:r>
          </w:p>
        </w:tc>
        <w:tc>
          <w:tcPr>
            <w:tcW w:w="2290" w:type="dxa"/>
            <w:vAlign w:val="center"/>
          </w:tcPr>
          <w:p w14:paraId="7913AEA8" w14:textId="77777777" w:rsidR="007F5C16" w:rsidRPr="00EE7081" w:rsidRDefault="007F5C16" w:rsidP="007F5C16">
            <w:pPr>
              <w:keepLines/>
              <w:autoSpaceDE w:val="0"/>
              <w:autoSpaceDN w:val="0"/>
              <w:spacing w:line="297" w:lineRule="exact"/>
              <w:ind w:left="107"/>
              <w:jc w:val="center"/>
              <w:rPr>
                <w:sz w:val="20"/>
                <w:szCs w:val="20"/>
              </w:rPr>
            </w:pPr>
            <w:r w:rsidRPr="00EE7081">
              <w:rPr>
                <w:sz w:val="20"/>
                <w:szCs w:val="20"/>
              </w:rPr>
              <w:t>3-6 points</w:t>
            </w:r>
          </w:p>
        </w:tc>
      </w:tr>
      <w:tr w:rsidR="00264EEA" w:rsidRPr="00EE7081" w14:paraId="1B40A34B" w14:textId="77777777" w:rsidTr="00DF02BB">
        <w:trPr>
          <w:cantSplit/>
        </w:trPr>
        <w:tc>
          <w:tcPr>
            <w:tcW w:w="7060" w:type="dxa"/>
            <w:vAlign w:val="center"/>
          </w:tcPr>
          <w:p w14:paraId="0A4160EE" w14:textId="0AD3CAEE" w:rsidR="00264EEA" w:rsidRPr="00EE7081" w:rsidRDefault="00264EEA" w:rsidP="00264EEA">
            <w:pPr>
              <w:keepLines/>
              <w:tabs>
                <w:tab w:val="left" w:pos="408"/>
              </w:tabs>
              <w:autoSpaceDE w:val="0"/>
              <w:autoSpaceDN w:val="0"/>
              <w:spacing w:line="293" w:lineRule="exact"/>
              <w:ind w:left="107"/>
              <w:rPr>
                <w:sz w:val="20"/>
                <w:szCs w:val="20"/>
              </w:rPr>
            </w:pPr>
            <w:r w:rsidRPr="00EE7081">
              <w:rPr>
                <w:w w:val="110"/>
                <w:sz w:val="20"/>
                <w:szCs w:val="20"/>
              </w:rPr>
              <w:t xml:space="preserve">Detailed description of plans to align activities and services with the local plan. Describes how program will co-enroll students with Title I. </w:t>
            </w:r>
            <w:r>
              <w:rPr>
                <w:w w:val="110"/>
                <w:sz w:val="20"/>
                <w:szCs w:val="20"/>
              </w:rPr>
              <w:t xml:space="preserve">Demonstrates knowledge of the local plan and one-stop partners and services in their area. </w:t>
            </w:r>
            <w:r w:rsidRPr="00EE7081">
              <w:rPr>
                <w:w w:val="110"/>
                <w:sz w:val="20"/>
                <w:szCs w:val="20"/>
              </w:rPr>
              <w:t xml:space="preserve">Describes how </w:t>
            </w:r>
            <w:r>
              <w:rPr>
                <w:w w:val="110"/>
                <w:sz w:val="20"/>
                <w:szCs w:val="20"/>
              </w:rPr>
              <w:t>the adult education program</w:t>
            </w:r>
            <w:r w:rsidRPr="00EE7081">
              <w:rPr>
                <w:w w:val="110"/>
                <w:sz w:val="20"/>
                <w:szCs w:val="20"/>
              </w:rPr>
              <w:t xml:space="preserve"> will help meet the workforce needs and goals of the local area</w:t>
            </w:r>
            <w:r>
              <w:rPr>
                <w:w w:val="110"/>
                <w:sz w:val="20"/>
                <w:szCs w:val="20"/>
              </w:rPr>
              <w:t xml:space="preserve"> and region as outlined in the local plan. Describes how the program will </w:t>
            </w:r>
            <w:r w:rsidRPr="00EE7081">
              <w:rPr>
                <w:w w:val="110"/>
                <w:sz w:val="20"/>
                <w:szCs w:val="20"/>
              </w:rPr>
              <w:t>align and collaborate with the</w:t>
            </w:r>
            <w:r>
              <w:rPr>
                <w:w w:val="110"/>
                <w:sz w:val="20"/>
                <w:szCs w:val="20"/>
              </w:rPr>
              <w:t>ir one-stop partners.</w:t>
            </w:r>
          </w:p>
        </w:tc>
        <w:tc>
          <w:tcPr>
            <w:tcW w:w="2290" w:type="dxa"/>
            <w:vAlign w:val="center"/>
          </w:tcPr>
          <w:p w14:paraId="0930412A" w14:textId="77777777" w:rsidR="00264EEA" w:rsidRPr="00EE7081" w:rsidRDefault="00264EEA" w:rsidP="00264EEA">
            <w:pPr>
              <w:keepLines/>
              <w:tabs>
                <w:tab w:val="left" w:pos="408"/>
              </w:tabs>
              <w:autoSpaceDE w:val="0"/>
              <w:autoSpaceDN w:val="0"/>
              <w:spacing w:line="293" w:lineRule="exact"/>
              <w:ind w:left="107"/>
              <w:jc w:val="center"/>
              <w:rPr>
                <w:sz w:val="20"/>
                <w:szCs w:val="20"/>
              </w:rPr>
            </w:pPr>
            <w:r w:rsidRPr="00EE7081">
              <w:rPr>
                <w:sz w:val="20"/>
                <w:szCs w:val="20"/>
              </w:rPr>
              <w:t>7-10 points</w:t>
            </w:r>
          </w:p>
        </w:tc>
      </w:tr>
      <w:tr w:rsidR="008D2C16" w:rsidRPr="00EE7081" w14:paraId="00C19CB7" w14:textId="77777777" w:rsidTr="00DF02BB">
        <w:trPr>
          <w:cantSplit/>
          <w:trHeight w:val="458"/>
        </w:trPr>
        <w:tc>
          <w:tcPr>
            <w:tcW w:w="7060" w:type="dxa"/>
            <w:vAlign w:val="center"/>
          </w:tcPr>
          <w:p w14:paraId="19C543ED" w14:textId="77777777" w:rsidR="008D2C16" w:rsidRPr="00EE7081" w:rsidRDefault="008D2C16" w:rsidP="00EA0734">
            <w:pPr>
              <w:keepLines/>
              <w:tabs>
                <w:tab w:val="left" w:pos="408"/>
              </w:tabs>
              <w:autoSpaceDE w:val="0"/>
              <w:autoSpaceDN w:val="0"/>
              <w:spacing w:line="293" w:lineRule="exact"/>
              <w:ind w:left="107"/>
              <w:jc w:val="right"/>
              <w:rPr>
                <w:b/>
                <w:bCs/>
                <w:w w:val="110"/>
                <w:sz w:val="20"/>
                <w:szCs w:val="20"/>
              </w:rPr>
            </w:pPr>
            <w:r w:rsidRPr="00EE7081">
              <w:rPr>
                <w:b/>
                <w:bCs/>
                <w:w w:val="110"/>
                <w:sz w:val="20"/>
                <w:szCs w:val="20"/>
              </w:rPr>
              <w:t>Score</w:t>
            </w:r>
          </w:p>
        </w:tc>
        <w:tc>
          <w:tcPr>
            <w:tcW w:w="2290" w:type="dxa"/>
            <w:vAlign w:val="center"/>
          </w:tcPr>
          <w:p w14:paraId="3FCB9937" w14:textId="77777777" w:rsidR="008D2C16" w:rsidRPr="00EE7081" w:rsidRDefault="008D2C16" w:rsidP="00EA0734">
            <w:pPr>
              <w:keepLines/>
              <w:tabs>
                <w:tab w:val="left" w:pos="408"/>
              </w:tabs>
              <w:autoSpaceDE w:val="0"/>
              <w:autoSpaceDN w:val="0"/>
              <w:spacing w:line="293" w:lineRule="exact"/>
              <w:ind w:left="107"/>
              <w:jc w:val="center"/>
              <w:rPr>
                <w:b/>
                <w:bCs/>
                <w:sz w:val="20"/>
                <w:szCs w:val="20"/>
              </w:rPr>
            </w:pPr>
            <w:r w:rsidRPr="00EE7081">
              <w:rPr>
                <w:b/>
                <w:bCs/>
                <w:sz w:val="20"/>
                <w:szCs w:val="20"/>
              </w:rPr>
              <w:t>/10 points</w:t>
            </w:r>
          </w:p>
        </w:tc>
      </w:tr>
      <w:tr w:rsidR="008D2C16" w:rsidRPr="00EE7081" w14:paraId="2CF85B9C" w14:textId="77777777" w:rsidTr="00DF02BB">
        <w:trPr>
          <w:cantSplit/>
        </w:trPr>
        <w:tc>
          <w:tcPr>
            <w:tcW w:w="9350" w:type="dxa"/>
            <w:gridSpan w:val="2"/>
          </w:tcPr>
          <w:p w14:paraId="1EA5C1C5" w14:textId="77777777" w:rsidR="008D2C16" w:rsidRPr="00EE7081" w:rsidRDefault="008D2C16" w:rsidP="00EA0734">
            <w:pPr>
              <w:keepLines/>
              <w:tabs>
                <w:tab w:val="left" w:pos="408"/>
              </w:tabs>
              <w:autoSpaceDE w:val="0"/>
              <w:autoSpaceDN w:val="0"/>
              <w:spacing w:line="293" w:lineRule="exact"/>
              <w:ind w:left="107"/>
              <w:rPr>
                <w:w w:val="110"/>
                <w:sz w:val="20"/>
                <w:szCs w:val="20"/>
              </w:rPr>
            </w:pPr>
            <w:r w:rsidRPr="00EE7081">
              <w:rPr>
                <w:b/>
                <w:bCs/>
                <w:w w:val="110"/>
                <w:sz w:val="20"/>
                <w:szCs w:val="20"/>
              </w:rPr>
              <w:t>Comments:</w:t>
            </w:r>
            <w:r w:rsidRPr="00EE7081">
              <w:rPr>
                <w:w w:val="110"/>
                <w:sz w:val="20"/>
                <w:szCs w:val="20"/>
              </w:rPr>
              <w:t xml:space="preserve"> </w:t>
            </w:r>
          </w:p>
          <w:p w14:paraId="58075944" w14:textId="77777777" w:rsidR="008D2C16" w:rsidRPr="00EE7081" w:rsidRDefault="008D2C16" w:rsidP="00EA0734">
            <w:pPr>
              <w:keepLines/>
              <w:tabs>
                <w:tab w:val="left" w:pos="408"/>
              </w:tabs>
              <w:autoSpaceDE w:val="0"/>
              <w:autoSpaceDN w:val="0"/>
              <w:spacing w:line="293" w:lineRule="exact"/>
              <w:ind w:left="107"/>
              <w:jc w:val="center"/>
              <w:rPr>
                <w:sz w:val="20"/>
                <w:szCs w:val="20"/>
              </w:rPr>
            </w:pPr>
          </w:p>
        </w:tc>
      </w:tr>
    </w:tbl>
    <w:p w14:paraId="4EDF3FFF" w14:textId="471CEABD" w:rsidR="00EE7081" w:rsidRPr="00EE7081" w:rsidRDefault="00EE7081" w:rsidP="00EA0734">
      <w:pPr>
        <w:keepLines/>
        <w:autoSpaceDE w:val="0"/>
        <w:autoSpaceDN w:val="0"/>
        <w:rPr>
          <w:rFonts w:eastAsiaTheme="minorHAnsi"/>
          <w:b/>
          <w:bCs/>
          <w:sz w:val="20"/>
          <w:szCs w:val="20"/>
        </w:rPr>
      </w:pPr>
    </w:p>
    <w:p w14:paraId="3B6630BF" w14:textId="77777777" w:rsidR="00EE7081" w:rsidRPr="00EE7081" w:rsidRDefault="00EE7081" w:rsidP="00EA0734">
      <w:pPr>
        <w:keepLines/>
        <w:rPr>
          <w:rFonts w:eastAsiaTheme="minorHAnsi"/>
          <w:b/>
          <w:bCs/>
          <w:sz w:val="20"/>
          <w:szCs w:val="20"/>
        </w:rPr>
      </w:pPr>
      <w:r w:rsidRPr="00EE7081">
        <w:rPr>
          <w:rFonts w:eastAsiaTheme="minorHAnsi"/>
          <w:b/>
          <w:bCs/>
          <w:sz w:val="20"/>
          <w:szCs w:val="20"/>
        </w:rPr>
        <w:br w:type="page"/>
      </w:r>
    </w:p>
    <w:tbl>
      <w:tblPr>
        <w:tblStyle w:val="TableGrid1"/>
        <w:tblW w:w="0" w:type="auto"/>
        <w:tblCellMar>
          <w:top w:w="115" w:type="dxa"/>
          <w:left w:w="115" w:type="dxa"/>
          <w:bottom w:w="115" w:type="dxa"/>
          <w:right w:w="115" w:type="dxa"/>
        </w:tblCellMar>
        <w:tblLook w:val="04A0" w:firstRow="1" w:lastRow="0" w:firstColumn="1" w:lastColumn="0" w:noHBand="0" w:noVBand="1"/>
      </w:tblPr>
      <w:tblGrid>
        <w:gridCol w:w="7050"/>
        <w:gridCol w:w="2300"/>
      </w:tblGrid>
      <w:tr w:rsidR="008D2C16" w:rsidRPr="00EE7081" w14:paraId="11CBE349" w14:textId="77777777" w:rsidTr="00611461">
        <w:trPr>
          <w:cantSplit/>
          <w:trHeight w:val="377"/>
        </w:trPr>
        <w:tc>
          <w:tcPr>
            <w:tcW w:w="9350" w:type="dxa"/>
            <w:gridSpan w:val="2"/>
            <w:shd w:val="clear" w:color="auto" w:fill="17365D" w:themeFill="text2" w:themeFillShade="BF"/>
            <w:vAlign w:val="center"/>
          </w:tcPr>
          <w:p w14:paraId="4DC175AA" w14:textId="1109D965" w:rsidR="008D2C16" w:rsidRPr="00EE7081" w:rsidRDefault="00EE7081" w:rsidP="00EA0734">
            <w:pPr>
              <w:keepLines/>
              <w:autoSpaceDE w:val="0"/>
              <w:autoSpaceDN w:val="0"/>
              <w:spacing w:line="299" w:lineRule="exact"/>
              <w:ind w:left="101"/>
              <w:jc w:val="center"/>
              <w:rPr>
                <w:b/>
                <w:bCs/>
              </w:rPr>
            </w:pPr>
            <w:r w:rsidRPr="00EE7081">
              <w:rPr>
                <w:b/>
                <w:bCs/>
                <w:sz w:val="20"/>
                <w:szCs w:val="20"/>
              </w:rPr>
              <w:lastRenderedPageBreak/>
              <w:br w:type="page"/>
            </w:r>
            <w:r w:rsidR="008D2C16" w:rsidRPr="00EE7081">
              <w:rPr>
                <w:b/>
                <w:bCs/>
              </w:rPr>
              <w:t xml:space="preserve">PART </w:t>
            </w:r>
            <w:r w:rsidR="00804B54">
              <w:rPr>
                <w:b/>
                <w:bCs/>
              </w:rPr>
              <w:t>12</w:t>
            </w:r>
            <w:r w:rsidR="003A10A3">
              <w:rPr>
                <w:b/>
                <w:bCs/>
              </w:rPr>
              <w:t>: ONE-STOP PARTICIPATION</w:t>
            </w:r>
            <w:r w:rsidR="008D2C16" w:rsidRPr="00EE7081">
              <w:rPr>
                <w:b/>
                <w:bCs/>
              </w:rPr>
              <w:t xml:space="preserve"> – </w:t>
            </w:r>
            <w:r w:rsidR="008D06C7">
              <w:rPr>
                <w:b/>
                <w:bCs/>
              </w:rPr>
              <w:t>5</w:t>
            </w:r>
            <w:r w:rsidR="008D2C16" w:rsidRPr="00EE7081">
              <w:rPr>
                <w:b/>
                <w:bCs/>
              </w:rPr>
              <w:t xml:space="preserve"> points possible</w:t>
            </w:r>
          </w:p>
        </w:tc>
      </w:tr>
      <w:tr w:rsidR="008D2C16" w:rsidRPr="00EE7081" w14:paraId="20D7399D" w14:textId="77777777" w:rsidTr="00611461">
        <w:trPr>
          <w:cantSplit/>
          <w:trHeight w:val="377"/>
        </w:trPr>
        <w:tc>
          <w:tcPr>
            <w:tcW w:w="9350" w:type="dxa"/>
            <w:gridSpan w:val="2"/>
            <w:shd w:val="clear" w:color="auto" w:fill="DBE5F1" w:themeFill="accent1" w:themeFillTint="33"/>
            <w:vAlign w:val="center"/>
          </w:tcPr>
          <w:p w14:paraId="55DB29E8" w14:textId="77777777" w:rsidR="008D2C16" w:rsidRPr="00EE7081" w:rsidRDefault="008D2C16" w:rsidP="00EA0734">
            <w:pPr>
              <w:keepLines/>
              <w:autoSpaceDE w:val="0"/>
              <w:autoSpaceDN w:val="0"/>
              <w:adjustRightInd w:val="0"/>
              <w:spacing w:after="120"/>
              <w:rPr>
                <w:rFonts w:eastAsiaTheme="minorEastAsia"/>
                <w:color w:val="000000"/>
                <w:sz w:val="20"/>
                <w:szCs w:val="20"/>
              </w:rPr>
            </w:pPr>
            <w:r w:rsidRPr="00EE7081">
              <w:rPr>
                <w:rFonts w:eastAsiaTheme="minorEastAsia"/>
                <w:color w:val="000000"/>
                <w:sz w:val="20"/>
                <w:szCs w:val="20"/>
              </w:rPr>
              <w:t>Describe how the eligible provider will fulfill, as appropriate, required one-stop partner responsibilities to—</w:t>
            </w:r>
          </w:p>
          <w:p w14:paraId="53E38092" w14:textId="77777777" w:rsidR="008D2C16" w:rsidRPr="00EE7081" w:rsidRDefault="008D2C16" w:rsidP="00EA0734">
            <w:pPr>
              <w:keepLines/>
              <w:autoSpaceDE w:val="0"/>
              <w:autoSpaceDN w:val="0"/>
              <w:adjustRightInd w:val="0"/>
              <w:spacing w:after="120"/>
              <w:ind w:left="360"/>
              <w:rPr>
                <w:rFonts w:eastAsiaTheme="minorEastAsia"/>
                <w:color w:val="000000"/>
                <w:sz w:val="20"/>
                <w:szCs w:val="20"/>
              </w:rPr>
            </w:pPr>
            <w:r w:rsidRPr="00EE7081">
              <w:rPr>
                <w:rFonts w:eastAsiaTheme="minorEastAsia"/>
                <w:color w:val="000000"/>
                <w:sz w:val="20"/>
                <w:szCs w:val="20"/>
              </w:rPr>
              <w:t>(</w:t>
            </w:r>
            <w:proofErr w:type="spellStart"/>
            <w:r w:rsidRPr="00EE7081">
              <w:rPr>
                <w:rFonts w:eastAsiaTheme="minorEastAsia"/>
                <w:color w:val="000000"/>
                <w:sz w:val="20"/>
                <w:szCs w:val="20"/>
              </w:rPr>
              <w:t>i</w:t>
            </w:r>
            <w:proofErr w:type="spellEnd"/>
            <w:r w:rsidRPr="00EE7081">
              <w:rPr>
                <w:rFonts w:eastAsiaTheme="minorEastAsia"/>
                <w:color w:val="000000"/>
                <w:sz w:val="20"/>
                <w:szCs w:val="20"/>
              </w:rPr>
              <w:t>) Provide access through the one-stop delivery system to adult education and literacy activities;</w:t>
            </w:r>
          </w:p>
          <w:p w14:paraId="59C85254" w14:textId="77777777" w:rsidR="008D2C16" w:rsidRPr="00EE7081" w:rsidRDefault="008D2C16" w:rsidP="00EA0734">
            <w:pPr>
              <w:keepLines/>
              <w:autoSpaceDE w:val="0"/>
              <w:autoSpaceDN w:val="0"/>
              <w:adjustRightInd w:val="0"/>
              <w:spacing w:after="120"/>
              <w:ind w:left="360"/>
              <w:rPr>
                <w:rFonts w:eastAsiaTheme="minorEastAsia"/>
                <w:color w:val="000000"/>
                <w:sz w:val="20"/>
                <w:szCs w:val="20"/>
              </w:rPr>
            </w:pPr>
            <w:r w:rsidRPr="00EE7081">
              <w:rPr>
                <w:rFonts w:eastAsiaTheme="minorEastAsia"/>
                <w:color w:val="000000"/>
                <w:sz w:val="20"/>
                <w:szCs w:val="20"/>
              </w:rPr>
              <w:t>(ii) Use a portion of the funds made available under the grant to maintain the one-stop delivery system, including payment of the infrastructure costs for the one-stop centers, in accordance with the methods agreed upon by the Local Board and described in the memorandum of understanding or the determination of the Governor regarding State one-stop infrastructure funding;</w:t>
            </w:r>
          </w:p>
          <w:p w14:paraId="750B52EE" w14:textId="33CE36DD" w:rsidR="008D2C16" w:rsidRPr="00EE7081" w:rsidRDefault="008D2C16" w:rsidP="00EA0734">
            <w:pPr>
              <w:keepLines/>
              <w:autoSpaceDE w:val="0"/>
              <w:autoSpaceDN w:val="0"/>
              <w:adjustRightInd w:val="0"/>
              <w:spacing w:after="120"/>
              <w:ind w:left="360"/>
              <w:rPr>
                <w:rFonts w:eastAsiaTheme="minorEastAsia"/>
                <w:color w:val="000000"/>
                <w:sz w:val="20"/>
                <w:szCs w:val="20"/>
              </w:rPr>
            </w:pPr>
            <w:r w:rsidRPr="00EE7081">
              <w:rPr>
                <w:rFonts w:eastAsiaTheme="minorEastAsia"/>
                <w:color w:val="000000"/>
                <w:sz w:val="20"/>
                <w:szCs w:val="20"/>
              </w:rPr>
              <w:t>(iii) Enter into a local memorandum of understanding with the Local Board, relating to the operations of the one-stop system;</w:t>
            </w:r>
            <w:r w:rsidR="00D5190B">
              <w:rPr>
                <w:rFonts w:eastAsiaTheme="minorEastAsia"/>
                <w:color w:val="000000"/>
                <w:sz w:val="20"/>
                <w:szCs w:val="20"/>
              </w:rPr>
              <w:t xml:space="preserve"> and</w:t>
            </w:r>
          </w:p>
          <w:p w14:paraId="047C1E4B" w14:textId="357E27B6" w:rsidR="00C418C3" w:rsidRDefault="008D2C16" w:rsidP="00C418C3">
            <w:pPr>
              <w:keepLines/>
              <w:autoSpaceDE w:val="0"/>
              <w:autoSpaceDN w:val="0"/>
              <w:adjustRightInd w:val="0"/>
              <w:spacing w:after="120"/>
              <w:ind w:left="360"/>
              <w:rPr>
                <w:rFonts w:eastAsiaTheme="minorEastAsia"/>
                <w:color w:val="000000"/>
                <w:sz w:val="20"/>
                <w:szCs w:val="20"/>
              </w:rPr>
            </w:pPr>
            <w:r w:rsidRPr="00EE7081">
              <w:rPr>
                <w:rFonts w:eastAsiaTheme="minorEastAsia"/>
                <w:color w:val="000000"/>
                <w:sz w:val="20"/>
                <w:szCs w:val="20"/>
              </w:rPr>
              <w:t xml:space="preserve">(iv) Participate in the operation of the one-stop system consistent with the terms of the memorandum of understanding, and the requirements of </w:t>
            </w:r>
            <w:r w:rsidR="00E716ED">
              <w:rPr>
                <w:rFonts w:eastAsiaTheme="minorEastAsia"/>
                <w:color w:val="000000"/>
                <w:sz w:val="20"/>
                <w:szCs w:val="20"/>
              </w:rPr>
              <w:t>WIOA</w:t>
            </w:r>
            <w:r w:rsidR="00D5190B">
              <w:rPr>
                <w:rFonts w:eastAsiaTheme="minorEastAsia"/>
                <w:color w:val="000000"/>
                <w:sz w:val="20"/>
                <w:szCs w:val="20"/>
              </w:rPr>
              <w:t xml:space="preserve">. </w:t>
            </w:r>
            <w:r w:rsidR="00D5190B" w:rsidRPr="00EE7081">
              <w:rPr>
                <w:rFonts w:eastAsiaTheme="minorEastAsia"/>
                <w:color w:val="000000"/>
                <w:sz w:val="20"/>
                <w:szCs w:val="20"/>
              </w:rPr>
              <w:t>(See Required Information 5.)</w:t>
            </w:r>
          </w:p>
          <w:p w14:paraId="4E795C50" w14:textId="28A2E3D6" w:rsidR="00C418C3" w:rsidRPr="00EE7081" w:rsidRDefault="00C418C3" w:rsidP="00C418C3">
            <w:pPr>
              <w:keepLines/>
              <w:autoSpaceDE w:val="0"/>
              <w:autoSpaceDN w:val="0"/>
              <w:adjustRightInd w:val="0"/>
              <w:spacing w:after="120"/>
              <w:rPr>
                <w:rFonts w:eastAsiaTheme="minorEastAsia"/>
                <w:color w:val="000000"/>
                <w:sz w:val="20"/>
                <w:szCs w:val="20"/>
              </w:rPr>
            </w:pPr>
            <w:r w:rsidRPr="00165BAE">
              <w:rPr>
                <w:rFonts w:eastAsiaTheme="minorEastAsia"/>
                <w:color w:val="000000"/>
                <w:sz w:val="20"/>
                <w:szCs w:val="20"/>
              </w:rPr>
              <w:t>TDLWD will provide guidance and funding to the grantees who are required to participate in and provide funds toward the one-stop system.</w:t>
            </w:r>
            <w:r>
              <w:rPr>
                <w:rFonts w:eastAsiaTheme="minorEastAsia"/>
                <w:color w:val="000000"/>
                <w:sz w:val="20"/>
                <w:szCs w:val="20"/>
              </w:rPr>
              <w:t xml:space="preserve"> Although not every grantee will be required to fulfill one-stop partner responsibilities, applicants should describe their willingness to participate if asked to do so by TDLWD. Applicants should also describe how they can provide benefit</w:t>
            </w:r>
          </w:p>
        </w:tc>
      </w:tr>
      <w:tr w:rsidR="00611461" w:rsidRPr="00EE7081" w14:paraId="0614290C" w14:textId="77777777" w:rsidTr="00611461">
        <w:trPr>
          <w:cantSplit/>
          <w:trHeight w:val="377"/>
        </w:trPr>
        <w:tc>
          <w:tcPr>
            <w:tcW w:w="7050" w:type="dxa"/>
          </w:tcPr>
          <w:p w14:paraId="7BC9F99F" w14:textId="4FDBDAAA" w:rsidR="00611461" w:rsidRPr="00EE7081" w:rsidRDefault="00611461" w:rsidP="00611461">
            <w:pPr>
              <w:keepLines/>
              <w:autoSpaceDE w:val="0"/>
              <w:autoSpaceDN w:val="0"/>
              <w:spacing w:line="299" w:lineRule="exact"/>
              <w:ind w:left="107"/>
              <w:rPr>
                <w:sz w:val="20"/>
                <w:szCs w:val="20"/>
              </w:rPr>
            </w:pPr>
            <w:r>
              <w:rPr>
                <w:sz w:val="20"/>
                <w:szCs w:val="20"/>
              </w:rPr>
              <w:t>No</w:t>
            </w:r>
            <w:r w:rsidRPr="00EE7081">
              <w:rPr>
                <w:sz w:val="20"/>
                <w:szCs w:val="20"/>
              </w:rPr>
              <w:t xml:space="preserve"> or </w:t>
            </w:r>
            <w:r>
              <w:rPr>
                <w:sz w:val="20"/>
                <w:szCs w:val="20"/>
              </w:rPr>
              <w:t>poor description of willingness to participate in the one-stop system.</w:t>
            </w:r>
          </w:p>
        </w:tc>
        <w:tc>
          <w:tcPr>
            <w:tcW w:w="2300" w:type="dxa"/>
            <w:vAlign w:val="center"/>
          </w:tcPr>
          <w:p w14:paraId="0E7A54CE" w14:textId="21A550A6" w:rsidR="00611461" w:rsidRPr="00EE7081" w:rsidRDefault="00611461" w:rsidP="00611461">
            <w:pPr>
              <w:keepLines/>
              <w:autoSpaceDE w:val="0"/>
              <w:autoSpaceDN w:val="0"/>
              <w:spacing w:line="299" w:lineRule="exact"/>
              <w:ind w:left="107"/>
              <w:jc w:val="center"/>
              <w:rPr>
                <w:sz w:val="20"/>
                <w:szCs w:val="20"/>
              </w:rPr>
            </w:pPr>
            <w:r w:rsidRPr="00EE7081">
              <w:rPr>
                <w:sz w:val="20"/>
                <w:szCs w:val="20"/>
              </w:rPr>
              <w:t>0-</w:t>
            </w:r>
            <w:r w:rsidR="008D06C7">
              <w:rPr>
                <w:sz w:val="20"/>
                <w:szCs w:val="20"/>
              </w:rPr>
              <w:t>1</w:t>
            </w:r>
            <w:r w:rsidRPr="00EE7081">
              <w:rPr>
                <w:sz w:val="20"/>
                <w:szCs w:val="20"/>
              </w:rPr>
              <w:t xml:space="preserve"> points</w:t>
            </w:r>
          </w:p>
        </w:tc>
      </w:tr>
      <w:tr w:rsidR="00C8186F" w:rsidRPr="00EE7081" w14:paraId="02767DDC" w14:textId="77777777" w:rsidTr="00611461">
        <w:trPr>
          <w:cantSplit/>
          <w:trHeight w:val="440"/>
        </w:trPr>
        <w:tc>
          <w:tcPr>
            <w:tcW w:w="7050" w:type="dxa"/>
          </w:tcPr>
          <w:p w14:paraId="4E776C67" w14:textId="1E80CEC9" w:rsidR="00C8186F" w:rsidRPr="00EE7081" w:rsidRDefault="00C8186F" w:rsidP="00C8186F">
            <w:pPr>
              <w:keepLines/>
              <w:autoSpaceDE w:val="0"/>
              <w:autoSpaceDN w:val="0"/>
              <w:spacing w:line="297" w:lineRule="exact"/>
              <w:ind w:left="107"/>
              <w:rPr>
                <w:sz w:val="20"/>
                <w:szCs w:val="20"/>
              </w:rPr>
            </w:pPr>
            <w:r w:rsidRPr="00EE7081">
              <w:rPr>
                <w:sz w:val="20"/>
                <w:szCs w:val="20"/>
              </w:rPr>
              <w:t xml:space="preserve">Brief or generic </w:t>
            </w:r>
            <w:r>
              <w:rPr>
                <w:sz w:val="20"/>
                <w:szCs w:val="20"/>
              </w:rPr>
              <w:t>description of willingness to</w:t>
            </w:r>
            <w:r w:rsidRPr="00EE7081">
              <w:rPr>
                <w:sz w:val="20"/>
                <w:szCs w:val="20"/>
              </w:rPr>
              <w:t xml:space="preserve"> participate in the one-stop system.</w:t>
            </w:r>
          </w:p>
        </w:tc>
        <w:tc>
          <w:tcPr>
            <w:tcW w:w="2300" w:type="dxa"/>
            <w:vAlign w:val="center"/>
          </w:tcPr>
          <w:p w14:paraId="56868A5A" w14:textId="6691FD32" w:rsidR="00C8186F" w:rsidRPr="00EE7081" w:rsidRDefault="008D06C7" w:rsidP="00C8186F">
            <w:pPr>
              <w:keepLines/>
              <w:autoSpaceDE w:val="0"/>
              <w:autoSpaceDN w:val="0"/>
              <w:spacing w:line="297" w:lineRule="exact"/>
              <w:ind w:left="107"/>
              <w:jc w:val="center"/>
              <w:rPr>
                <w:sz w:val="20"/>
                <w:szCs w:val="20"/>
              </w:rPr>
            </w:pPr>
            <w:r>
              <w:rPr>
                <w:sz w:val="20"/>
                <w:szCs w:val="20"/>
              </w:rPr>
              <w:t>2</w:t>
            </w:r>
            <w:r w:rsidR="00C8186F" w:rsidRPr="00EE7081">
              <w:rPr>
                <w:sz w:val="20"/>
                <w:szCs w:val="20"/>
              </w:rPr>
              <w:t>-</w:t>
            </w:r>
            <w:r>
              <w:rPr>
                <w:sz w:val="20"/>
                <w:szCs w:val="20"/>
              </w:rPr>
              <w:t>3</w:t>
            </w:r>
            <w:r w:rsidR="00C8186F" w:rsidRPr="00EE7081">
              <w:rPr>
                <w:sz w:val="20"/>
                <w:szCs w:val="20"/>
              </w:rPr>
              <w:t xml:space="preserve"> points</w:t>
            </w:r>
          </w:p>
        </w:tc>
      </w:tr>
      <w:tr w:rsidR="00054C6A" w:rsidRPr="00EE7081" w14:paraId="1FBDF3AD" w14:textId="77777777" w:rsidTr="00611461">
        <w:trPr>
          <w:cantSplit/>
        </w:trPr>
        <w:tc>
          <w:tcPr>
            <w:tcW w:w="7050" w:type="dxa"/>
          </w:tcPr>
          <w:p w14:paraId="16C70843" w14:textId="49EF5F42" w:rsidR="00054C6A" w:rsidRPr="00EE7081" w:rsidRDefault="00054C6A" w:rsidP="00054C6A">
            <w:pPr>
              <w:keepLines/>
              <w:tabs>
                <w:tab w:val="left" w:pos="408"/>
              </w:tabs>
              <w:autoSpaceDE w:val="0"/>
              <w:autoSpaceDN w:val="0"/>
              <w:spacing w:line="293" w:lineRule="exact"/>
              <w:ind w:left="107"/>
              <w:rPr>
                <w:sz w:val="20"/>
                <w:szCs w:val="20"/>
              </w:rPr>
            </w:pPr>
            <w:r>
              <w:rPr>
                <w:sz w:val="20"/>
                <w:szCs w:val="20"/>
              </w:rPr>
              <w:t>Detailed description of willingness and capability to fulfill one-stop partner responsibilities as delegated by TDLWD, which may include providing access to adult education services through the one-stop system, serving on the Local Board, providing funding toward American Job Center infrastructure costs, and participating in partner negotiations and MOUs.</w:t>
            </w:r>
          </w:p>
        </w:tc>
        <w:tc>
          <w:tcPr>
            <w:tcW w:w="2300" w:type="dxa"/>
            <w:vAlign w:val="center"/>
          </w:tcPr>
          <w:p w14:paraId="6C94B3AD" w14:textId="60E85254" w:rsidR="00054C6A" w:rsidRPr="00EE7081" w:rsidRDefault="008D06C7" w:rsidP="00054C6A">
            <w:pPr>
              <w:keepLines/>
              <w:tabs>
                <w:tab w:val="left" w:pos="408"/>
              </w:tabs>
              <w:autoSpaceDE w:val="0"/>
              <w:autoSpaceDN w:val="0"/>
              <w:spacing w:line="293" w:lineRule="exact"/>
              <w:ind w:left="107"/>
              <w:jc w:val="center"/>
              <w:rPr>
                <w:sz w:val="20"/>
                <w:szCs w:val="20"/>
              </w:rPr>
            </w:pPr>
            <w:r>
              <w:rPr>
                <w:sz w:val="20"/>
                <w:szCs w:val="20"/>
              </w:rPr>
              <w:t>4</w:t>
            </w:r>
            <w:r w:rsidR="00054C6A" w:rsidRPr="00EE7081">
              <w:rPr>
                <w:sz w:val="20"/>
                <w:szCs w:val="20"/>
              </w:rPr>
              <w:t>-</w:t>
            </w:r>
            <w:r>
              <w:rPr>
                <w:sz w:val="20"/>
                <w:szCs w:val="20"/>
              </w:rPr>
              <w:t>5</w:t>
            </w:r>
            <w:r w:rsidR="00054C6A" w:rsidRPr="00EE7081">
              <w:rPr>
                <w:sz w:val="20"/>
                <w:szCs w:val="20"/>
              </w:rPr>
              <w:t xml:space="preserve"> points</w:t>
            </w:r>
          </w:p>
        </w:tc>
      </w:tr>
      <w:tr w:rsidR="008D2C16" w:rsidRPr="00EE7081" w14:paraId="6A536A9F" w14:textId="77777777" w:rsidTr="00611461">
        <w:trPr>
          <w:cantSplit/>
          <w:trHeight w:val="458"/>
        </w:trPr>
        <w:tc>
          <w:tcPr>
            <w:tcW w:w="7050" w:type="dxa"/>
            <w:vAlign w:val="center"/>
          </w:tcPr>
          <w:p w14:paraId="553A0931" w14:textId="77777777" w:rsidR="008D2C16" w:rsidRPr="00EE7081" w:rsidRDefault="008D2C16" w:rsidP="00EA0734">
            <w:pPr>
              <w:keepLines/>
              <w:tabs>
                <w:tab w:val="left" w:pos="408"/>
              </w:tabs>
              <w:autoSpaceDE w:val="0"/>
              <w:autoSpaceDN w:val="0"/>
              <w:spacing w:line="293" w:lineRule="exact"/>
              <w:ind w:left="107"/>
              <w:jc w:val="right"/>
              <w:rPr>
                <w:b/>
                <w:bCs/>
                <w:w w:val="110"/>
                <w:sz w:val="20"/>
                <w:szCs w:val="20"/>
              </w:rPr>
            </w:pPr>
            <w:r w:rsidRPr="00EE7081">
              <w:rPr>
                <w:b/>
                <w:bCs/>
                <w:w w:val="110"/>
                <w:sz w:val="20"/>
                <w:szCs w:val="20"/>
              </w:rPr>
              <w:t>Score</w:t>
            </w:r>
          </w:p>
        </w:tc>
        <w:tc>
          <w:tcPr>
            <w:tcW w:w="2300" w:type="dxa"/>
            <w:vAlign w:val="center"/>
          </w:tcPr>
          <w:p w14:paraId="2E7F725F" w14:textId="05D3053D" w:rsidR="008D2C16" w:rsidRPr="00EE7081" w:rsidRDefault="008D2C16" w:rsidP="00EA0734">
            <w:pPr>
              <w:keepLines/>
              <w:tabs>
                <w:tab w:val="left" w:pos="408"/>
              </w:tabs>
              <w:autoSpaceDE w:val="0"/>
              <w:autoSpaceDN w:val="0"/>
              <w:spacing w:line="293" w:lineRule="exact"/>
              <w:ind w:left="107"/>
              <w:jc w:val="center"/>
              <w:rPr>
                <w:b/>
                <w:bCs/>
                <w:sz w:val="20"/>
                <w:szCs w:val="20"/>
              </w:rPr>
            </w:pPr>
            <w:r w:rsidRPr="00EE7081">
              <w:rPr>
                <w:b/>
                <w:bCs/>
                <w:sz w:val="20"/>
                <w:szCs w:val="20"/>
              </w:rPr>
              <w:t>/</w:t>
            </w:r>
            <w:r w:rsidR="008D06C7">
              <w:rPr>
                <w:b/>
                <w:bCs/>
                <w:sz w:val="20"/>
                <w:szCs w:val="20"/>
              </w:rPr>
              <w:t>5</w:t>
            </w:r>
            <w:r w:rsidRPr="00EE7081">
              <w:rPr>
                <w:b/>
                <w:bCs/>
                <w:sz w:val="20"/>
                <w:szCs w:val="20"/>
              </w:rPr>
              <w:t xml:space="preserve"> points</w:t>
            </w:r>
          </w:p>
        </w:tc>
      </w:tr>
      <w:tr w:rsidR="008D2C16" w:rsidRPr="00EE7081" w14:paraId="6BD0328E" w14:textId="77777777" w:rsidTr="00611461">
        <w:trPr>
          <w:cantSplit/>
        </w:trPr>
        <w:tc>
          <w:tcPr>
            <w:tcW w:w="9350" w:type="dxa"/>
            <w:gridSpan w:val="2"/>
          </w:tcPr>
          <w:p w14:paraId="1D2E33E0" w14:textId="77777777" w:rsidR="008D2C16" w:rsidRPr="00EE7081" w:rsidRDefault="008D2C16" w:rsidP="00EA0734">
            <w:pPr>
              <w:keepLines/>
              <w:tabs>
                <w:tab w:val="left" w:pos="408"/>
              </w:tabs>
              <w:autoSpaceDE w:val="0"/>
              <w:autoSpaceDN w:val="0"/>
              <w:spacing w:line="293" w:lineRule="exact"/>
              <w:ind w:left="107"/>
              <w:rPr>
                <w:w w:val="110"/>
                <w:sz w:val="20"/>
                <w:szCs w:val="20"/>
              </w:rPr>
            </w:pPr>
            <w:r w:rsidRPr="00EE7081">
              <w:rPr>
                <w:b/>
                <w:bCs/>
                <w:w w:val="110"/>
                <w:sz w:val="20"/>
                <w:szCs w:val="20"/>
              </w:rPr>
              <w:t>Comments:</w:t>
            </w:r>
            <w:r w:rsidRPr="00EE7081">
              <w:rPr>
                <w:w w:val="110"/>
                <w:sz w:val="20"/>
                <w:szCs w:val="20"/>
              </w:rPr>
              <w:t xml:space="preserve"> </w:t>
            </w:r>
          </w:p>
          <w:p w14:paraId="1088D140" w14:textId="77777777" w:rsidR="008D2C16" w:rsidRPr="00EE7081" w:rsidRDefault="008D2C16" w:rsidP="00EA0734">
            <w:pPr>
              <w:keepLines/>
              <w:tabs>
                <w:tab w:val="left" w:pos="408"/>
              </w:tabs>
              <w:autoSpaceDE w:val="0"/>
              <w:autoSpaceDN w:val="0"/>
              <w:spacing w:line="293" w:lineRule="exact"/>
              <w:ind w:left="107"/>
              <w:jc w:val="center"/>
              <w:rPr>
                <w:sz w:val="20"/>
                <w:szCs w:val="20"/>
              </w:rPr>
            </w:pPr>
          </w:p>
        </w:tc>
      </w:tr>
    </w:tbl>
    <w:p w14:paraId="2D30552B" w14:textId="4D81C1AC" w:rsidR="00EE7081" w:rsidRPr="00EE7081" w:rsidRDefault="00EE7081" w:rsidP="00EA0734">
      <w:pPr>
        <w:keepLines/>
        <w:autoSpaceDE w:val="0"/>
        <w:autoSpaceDN w:val="0"/>
        <w:rPr>
          <w:rFonts w:eastAsiaTheme="minorHAnsi"/>
          <w:b/>
          <w:bCs/>
          <w:sz w:val="20"/>
          <w:szCs w:val="20"/>
        </w:rPr>
      </w:pPr>
    </w:p>
    <w:p w14:paraId="05EFD0BC" w14:textId="77777777" w:rsidR="00EE7081" w:rsidRPr="00EE7081" w:rsidRDefault="00EE7081" w:rsidP="00EA0734">
      <w:pPr>
        <w:keepLines/>
        <w:rPr>
          <w:rFonts w:eastAsiaTheme="minorHAnsi"/>
          <w:b/>
          <w:bCs/>
          <w:sz w:val="20"/>
          <w:szCs w:val="20"/>
        </w:rPr>
      </w:pPr>
      <w:r w:rsidRPr="00EE7081">
        <w:rPr>
          <w:rFonts w:eastAsiaTheme="minorHAnsi"/>
          <w:b/>
          <w:bCs/>
          <w:sz w:val="20"/>
          <w:szCs w:val="20"/>
        </w:rPr>
        <w:br w:type="page"/>
      </w:r>
    </w:p>
    <w:tbl>
      <w:tblPr>
        <w:tblStyle w:val="TableGrid1"/>
        <w:tblW w:w="0" w:type="auto"/>
        <w:tblCellMar>
          <w:top w:w="115" w:type="dxa"/>
          <w:left w:w="115" w:type="dxa"/>
          <w:bottom w:w="115" w:type="dxa"/>
          <w:right w:w="115" w:type="dxa"/>
        </w:tblCellMar>
        <w:tblLook w:val="04A0" w:firstRow="1" w:lastRow="0" w:firstColumn="1" w:lastColumn="0" w:noHBand="0" w:noVBand="1"/>
      </w:tblPr>
      <w:tblGrid>
        <w:gridCol w:w="7054"/>
        <w:gridCol w:w="2296"/>
      </w:tblGrid>
      <w:tr w:rsidR="008D2C16" w:rsidRPr="00EE7081" w14:paraId="67993152" w14:textId="77777777" w:rsidTr="00895F31">
        <w:trPr>
          <w:cantSplit/>
          <w:trHeight w:val="377"/>
        </w:trPr>
        <w:tc>
          <w:tcPr>
            <w:tcW w:w="9350" w:type="dxa"/>
            <w:gridSpan w:val="2"/>
            <w:shd w:val="clear" w:color="auto" w:fill="17365D" w:themeFill="text2" w:themeFillShade="BF"/>
            <w:vAlign w:val="center"/>
          </w:tcPr>
          <w:p w14:paraId="186B4DED" w14:textId="02C85EA1" w:rsidR="008D2C16" w:rsidRPr="00EE7081" w:rsidRDefault="008D2C16" w:rsidP="00EA0734">
            <w:pPr>
              <w:keepLines/>
              <w:autoSpaceDE w:val="0"/>
              <w:autoSpaceDN w:val="0"/>
              <w:spacing w:line="299" w:lineRule="exact"/>
              <w:ind w:left="101"/>
              <w:jc w:val="center"/>
              <w:rPr>
                <w:b/>
                <w:bCs/>
              </w:rPr>
            </w:pPr>
            <w:r w:rsidRPr="00EE7081">
              <w:rPr>
                <w:b/>
                <w:bCs/>
              </w:rPr>
              <w:lastRenderedPageBreak/>
              <w:t>PART 13</w:t>
            </w:r>
            <w:r w:rsidR="003A684E">
              <w:rPr>
                <w:b/>
                <w:bCs/>
              </w:rPr>
              <w:t>: GEPA SECTION 427</w:t>
            </w:r>
            <w:r w:rsidR="00C41FB6">
              <w:rPr>
                <w:b/>
                <w:bCs/>
              </w:rPr>
              <w:t xml:space="preserve"> – 5 points possible</w:t>
            </w:r>
          </w:p>
        </w:tc>
      </w:tr>
      <w:tr w:rsidR="008D2C16" w:rsidRPr="00EE7081" w14:paraId="31655A33" w14:textId="77777777" w:rsidTr="00895F31">
        <w:trPr>
          <w:cantSplit/>
          <w:trHeight w:val="377"/>
        </w:trPr>
        <w:tc>
          <w:tcPr>
            <w:tcW w:w="9350" w:type="dxa"/>
            <w:gridSpan w:val="2"/>
            <w:shd w:val="clear" w:color="auto" w:fill="DBE5F1" w:themeFill="accent1" w:themeFillTint="33"/>
            <w:vAlign w:val="center"/>
          </w:tcPr>
          <w:p w14:paraId="7B0607C7" w14:textId="4522C9D6" w:rsidR="008D2C16" w:rsidRPr="00EE7081" w:rsidRDefault="008D2C16" w:rsidP="00EA0734">
            <w:pPr>
              <w:keepLines/>
              <w:autoSpaceDE w:val="0"/>
              <w:autoSpaceDN w:val="0"/>
              <w:spacing w:line="299" w:lineRule="exact"/>
              <w:ind w:left="101"/>
              <w:rPr>
                <w:sz w:val="20"/>
                <w:szCs w:val="20"/>
              </w:rPr>
            </w:pPr>
            <w:r w:rsidRPr="00EE7081">
              <w:rPr>
                <w:bCs/>
                <w:sz w:val="20"/>
                <w:szCs w:val="20"/>
              </w:rPr>
              <w:t xml:space="preserve">Describe the steps the eligible provider proposes to take to ensure equitable access to, and participation in, its Federally-assisted adult education program for students, teachers, and other program beneficiaries with special needs. Types of barriers that can impede equitable access or participation include: gender, race, national origin, color, disability, or age. (See </w:t>
            </w:r>
            <w:r w:rsidR="00116564">
              <w:rPr>
                <w:bCs/>
                <w:sz w:val="20"/>
                <w:szCs w:val="20"/>
              </w:rPr>
              <w:t>Section 8 – Grant Application Guide</w:t>
            </w:r>
            <w:r w:rsidRPr="00EE7081">
              <w:rPr>
                <w:bCs/>
                <w:sz w:val="20"/>
                <w:szCs w:val="20"/>
              </w:rPr>
              <w:t>.)</w:t>
            </w:r>
          </w:p>
        </w:tc>
      </w:tr>
      <w:tr w:rsidR="00895F31" w:rsidRPr="00EE7081" w14:paraId="12F40FBF" w14:textId="77777777" w:rsidTr="00170312">
        <w:trPr>
          <w:cantSplit/>
          <w:trHeight w:val="377"/>
        </w:trPr>
        <w:tc>
          <w:tcPr>
            <w:tcW w:w="7054" w:type="dxa"/>
          </w:tcPr>
          <w:p w14:paraId="7516BB16" w14:textId="77777777" w:rsidR="00895F31" w:rsidRPr="00EE7081" w:rsidRDefault="00895F31" w:rsidP="00170312">
            <w:pPr>
              <w:keepLines/>
              <w:autoSpaceDE w:val="0"/>
              <w:autoSpaceDN w:val="0"/>
              <w:spacing w:line="299" w:lineRule="exact"/>
              <w:ind w:left="107"/>
              <w:rPr>
                <w:sz w:val="20"/>
                <w:szCs w:val="20"/>
              </w:rPr>
            </w:pPr>
            <w:r>
              <w:rPr>
                <w:sz w:val="20"/>
                <w:szCs w:val="20"/>
              </w:rPr>
              <w:t>No</w:t>
            </w:r>
            <w:r w:rsidRPr="00EE7081">
              <w:rPr>
                <w:sz w:val="20"/>
                <w:szCs w:val="20"/>
              </w:rPr>
              <w:t xml:space="preserve"> or </w:t>
            </w:r>
            <w:r>
              <w:rPr>
                <w:sz w:val="20"/>
                <w:szCs w:val="20"/>
              </w:rPr>
              <w:t>poor description of how the applicant will address the GEPA requirements.</w:t>
            </w:r>
          </w:p>
        </w:tc>
        <w:tc>
          <w:tcPr>
            <w:tcW w:w="2296" w:type="dxa"/>
            <w:vAlign w:val="center"/>
          </w:tcPr>
          <w:p w14:paraId="04141EF3" w14:textId="77777777" w:rsidR="00895F31" w:rsidRPr="00EE7081" w:rsidRDefault="00895F31" w:rsidP="00170312">
            <w:pPr>
              <w:keepLines/>
              <w:autoSpaceDE w:val="0"/>
              <w:autoSpaceDN w:val="0"/>
              <w:spacing w:line="299" w:lineRule="exact"/>
              <w:ind w:left="107"/>
              <w:jc w:val="center"/>
              <w:rPr>
                <w:sz w:val="20"/>
                <w:szCs w:val="20"/>
              </w:rPr>
            </w:pPr>
            <w:r w:rsidRPr="00EE7081">
              <w:rPr>
                <w:sz w:val="20"/>
                <w:szCs w:val="20"/>
              </w:rPr>
              <w:t>0-</w:t>
            </w:r>
            <w:r>
              <w:rPr>
                <w:sz w:val="20"/>
                <w:szCs w:val="20"/>
              </w:rPr>
              <w:t>1</w:t>
            </w:r>
            <w:r w:rsidRPr="00EE7081">
              <w:rPr>
                <w:sz w:val="20"/>
                <w:szCs w:val="20"/>
              </w:rPr>
              <w:t xml:space="preserve"> points</w:t>
            </w:r>
          </w:p>
        </w:tc>
      </w:tr>
      <w:tr w:rsidR="00895F31" w:rsidRPr="00EE7081" w14:paraId="0BA536D1" w14:textId="77777777" w:rsidTr="00170312">
        <w:trPr>
          <w:cantSplit/>
          <w:trHeight w:val="440"/>
        </w:trPr>
        <w:tc>
          <w:tcPr>
            <w:tcW w:w="7054" w:type="dxa"/>
          </w:tcPr>
          <w:p w14:paraId="380CC018" w14:textId="7FCA4C73" w:rsidR="00895F31" w:rsidRPr="00EE7081" w:rsidRDefault="00895F31" w:rsidP="00170312">
            <w:pPr>
              <w:keepLines/>
              <w:autoSpaceDE w:val="0"/>
              <w:autoSpaceDN w:val="0"/>
              <w:spacing w:line="297" w:lineRule="exact"/>
              <w:ind w:left="107"/>
              <w:rPr>
                <w:sz w:val="20"/>
                <w:szCs w:val="20"/>
              </w:rPr>
            </w:pPr>
            <w:r w:rsidRPr="00EE7081">
              <w:rPr>
                <w:sz w:val="20"/>
                <w:szCs w:val="20"/>
              </w:rPr>
              <w:t xml:space="preserve">Brief or generic </w:t>
            </w:r>
            <w:r>
              <w:rPr>
                <w:sz w:val="20"/>
                <w:szCs w:val="20"/>
              </w:rPr>
              <w:t xml:space="preserve">description of how the applicant will address the GEPA requirements. Only a few </w:t>
            </w:r>
            <w:r w:rsidR="00DF2096">
              <w:rPr>
                <w:sz w:val="20"/>
                <w:szCs w:val="20"/>
              </w:rPr>
              <w:t xml:space="preserve">types of </w:t>
            </w:r>
            <w:r>
              <w:rPr>
                <w:sz w:val="20"/>
                <w:szCs w:val="20"/>
              </w:rPr>
              <w:t>barriers are addressed.</w:t>
            </w:r>
          </w:p>
        </w:tc>
        <w:tc>
          <w:tcPr>
            <w:tcW w:w="2296" w:type="dxa"/>
            <w:vAlign w:val="center"/>
          </w:tcPr>
          <w:p w14:paraId="5C322AEA" w14:textId="77777777" w:rsidR="00895F31" w:rsidRPr="00EE7081" w:rsidRDefault="00895F31" w:rsidP="00170312">
            <w:pPr>
              <w:keepLines/>
              <w:autoSpaceDE w:val="0"/>
              <w:autoSpaceDN w:val="0"/>
              <w:spacing w:line="297" w:lineRule="exact"/>
              <w:ind w:left="107"/>
              <w:jc w:val="center"/>
              <w:rPr>
                <w:sz w:val="20"/>
                <w:szCs w:val="20"/>
              </w:rPr>
            </w:pPr>
            <w:r>
              <w:rPr>
                <w:sz w:val="20"/>
                <w:szCs w:val="20"/>
              </w:rPr>
              <w:t>2</w:t>
            </w:r>
            <w:r w:rsidRPr="00EE7081">
              <w:rPr>
                <w:sz w:val="20"/>
                <w:szCs w:val="20"/>
              </w:rPr>
              <w:t>-</w:t>
            </w:r>
            <w:r>
              <w:rPr>
                <w:sz w:val="20"/>
                <w:szCs w:val="20"/>
              </w:rPr>
              <w:t>3</w:t>
            </w:r>
            <w:r w:rsidRPr="00EE7081">
              <w:rPr>
                <w:sz w:val="20"/>
                <w:szCs w:val="20"/>
              </w:rPr>
              <w:t>points</w:t>
            </w:r>
          </w:p>
        </w:tc>
      </w:tr>
      <w:tr w:rsidR="00895F31" w:rsidRPr="00EE7081" w14:paraId="74F14ECE" w14:textId="77777777" w:rsidTr="00170312">
        <w:trPr>
          <w:cantSplit/>
        </w:trPr>
        <w:tc>
          <w:tcPr>
            <w:tcW w:w="7054" w:type="dxa"/>
          </w:tcPr>
          <w:p w14:paraId="5C34A14D" w14:textId="5F4C4630" w:rsidR="00895F31" w:rsidRPr="00EE7081" w:rsidRDefault="00895F31" w:rsidP="00170312">
            <w:pPr>
              <w:keepLines/>
              <w:tabs>
                <w:tab w:val="left" w:pos="408"/>
              </w:tabs>
              <w:autoSpaceDE w:val="0"/>
              <w:autoSpaceDN w:val="0"/>
              <w:spacing w:line="293" w:lineRule="exact"/>
              <w:ind w:left="107"/>
              <w:rPr>
                <w:sz w:val="20"/>
                <w:szCs w:val="20"/>
              </w:rPr>
            </w:pPr>
            <w:r>
              <w:rPr>
                <w:sz w:val="20"/>
                <w:szCs w:val="20"/>
              </w:rPr>
              <w:t xml:space="preserve">Detailed description of how the applicant will address the GEPA requirements. Specific examples and plans are provided, and several </w:t>
            </w:r>
            <w:r w:rsidR="00DF2096">
              <w:rPr>
                <w:sz w:val="20"/>
                <w:szCs w:val="20"/>
              </w:rPr>
              <w:t xml:space="preserve">types of </w:t>
            </w:r>
            <w:r>
              <w:rPr>
                <w:sz w:val="20"/>
                <w:szCs w:val="20"/>
              </w:rPr>
              <w:t>barriers are addressed.</w:t>
            </w:r>
          </w:p>
        </w:tc>
        <w:tc>
          <w:tcPr>
            <w:tcW w:w="2296" w:type="dxa"/>
            <w:vAlign w:val="center"/>
          </w:tcPr>
          <w:p w14:paraId="6A1CFBB5" w14:textId="77777777" w:rsidR="00895F31" w:rsidRPr="00EE7081" w:rsidRDefault="00895F31" w:rsidP="00170312">
            <w:pPr>
              <w:keepLines/>
              <w:tabs>
                <w:tab w:val="left" w:pos="408"/>
              </w:tabs>
              <w:autoSpaceDE w:val="0"/>
              <w:autoSpaceDN w:val="0"/>
              <w:spacing w:line="293" w:lineRule="exact"/>
              <w:ind w:left="107"/>
              <w:jc w:val="center"/>
              <w:rPr>
                <w:sz w:val="20"/>
                <w:szCs w:val="20"/>
              </w:rPr>
            </w:pPr>
            <w:r>
              <w:rPr>
                <w:sz w:val="20"/>
                <w:szCs w:val="20"/>
              </w:rPr>
              <w:t>4</w:t>
            </w:r>
            <w:r w:rsidRPr="00EE7081">
              <w:rPr>
                <w:sz w:val="20"/>
                <w:szCs w:val="20"/>
              </w:rPr>
              <w:t>-</w:t>
            </w:r>
            <w:r>
              <w:rPr>
                <w:sz w:val="20"/>
                <w:szCs w:val="20"/>
              </w:rPr>
              <w:t>5</w:t>
            </w:r>
            <w:r w:rsidRPr="00EE7081">
              <w:rPr>
                <w:sz w:val="20"/>
                <w:szCs w:val="20"/>
              </w:rPr>
              <w:t xml:space="preserve"> points</w:t>
            </w:r>
          </w:p>
        </w:tc>
      </w:tr>
      <w:tr w:rsidR="00895F31" w:rsidRPr="00EE7081" w14:paraId="2DE98DFB" w14:textId="77777777" w:rsidTr="00170312">
        <w:trPr>
          <w:cantSplit/>
          <w:trHeight w:val="458"/>
        </w:trPr>
        <w:tc>
          <w:tcPr>
            <w:tcW w:w="7054" w:type="dxa"/>
            <w:vAlign w:val="center"/>
          </w:tcPr>
          <w:p w14:paraId="68691EEF" w14:textId="77777777" w:rsidR="00895F31" w:rsidRPr="00EE7081" w:rsidRDefault="00895F31" w:rsidP="00170312">
            <w:pPr>
              <w:keepLines/>
              <w:tabs>
                <w:tab w:val="left" w:pos="408"/>
              </w:tabs>
              <w:autoSpaceDE w:val="0"/>
              <w:autoSpaceDN w:val="0"/>
              <w:spacing w:line="293" w:lineRule="exact"/>
              <w:ind w:left="107"/>
              <w:jc w:val="right"/>
              <w:rPr>
                <w:b/>
                <w:bCs/>
                <w:w w:val="110"/>
                <w:sz w:val="20"/>
                <w:szCs w:val="20"/>
              </w:rPr>
            </w:pPr>
            <w:r w:rsidRPr="00EE7081">
              <w:rPr>
                <w:b/>
                <w:bCs/>
                <w:w w:val="110"/>
                <w:sz w:val="20"/>
                <w:szCs w:val="20"/>
              </w:rPr>
              <w:t>Score</w:t>
            </w:r>
          </w:p>
        </w:tc>
        <w:tc>
          <w:tcPr>
            <w:tcW w:w="2296" w:type="dxa"/>
            <w:vAlign w:val="center"/>
          </w:tcPr>
          <w:p w14:paraId="23D49875" w14:textId="77777777" w:rsidR="00895F31" w:rsidRPr="00EE7081" w:rsidRDefault="00895F31" w:rsidP="00170312">
            <w:pPr>
              <w:keepLines/>
              <w:tabs>
                <w:tab w:val="left" w:pos="408"/>
              </w:tabs>
              <w:autoSpaceDE w:val="0"/>
              <w:autoSpaceDN w:val="0"/>
              <w:spacing w:line="293" w:lineRule="exact"/>
              <w:ind w:left="107"/>
              <w:jc w:val="center"/>
              <w:rPr>
                <w:b/>
                <w:bCs/>
                <w:sz w:val="20"/>
                <w:szCs w:val="20"/>
              </w:rPr>
            </w:pPr>
            <w:r w:rsidRPr="00EE7081">
              <w:rPr>
                <w:b/>
                <w:bCs/>
                <w:sz w:val="20"/>
                <w:szCs w:val="20"/>
              </w:rPr>
              <w:t>/</w:t>
            </w:r>
            <w:r>
              <w:rPr>
                <w:b/>
                <w:bCs/>
                <w:sz w:val="20"/>
                <w:szCs w:val="20"/>
              </w:rPr>
              <w:t>5</w:t>
            </w:r>
            <w:r w:rsidRPr="00EE7081">
              <w:rPr>
                <w:b/>
                <w:bCs/>
                <w:sz w:val="20"/>
                <w:szCs w:val="20"/>
              </w:rPr>
              <w:t xml:space="preserve"> points</w:t>
            </w:r>
          </w:p>
        </w:tc>
      </w:tr>
      <w:tr w:rsidR="00895F31" w:rsidRPr="00EE7081" w14:paraId="72AA4DDC" w14:textId="77777777" w:rsidTr="00170312">
        <w:trPr>
          <w:cantSplit/>
        </w:trPr>
        <w:tc>
          <w:tcPr>
            <w:tcW w:w="9350" w:type="dxa"/>
            <w:gridSpan w:val="2"/>
          </w:tcPr>
          <w:p w14:paraId="73F8A8FA" w14:textId="77777777" w:rsidR="00895F31" w:rsidRPr="00EE7081" w:rsidRDefault="00895F31" w:rsidP="00170312">
            <w:pPr>
              <w:keepLines/>
              <w:tabs>
                <w:tab w:val="left" w:pos="408"/>
              </w:tabs>
              <w:autoSpaceDE w:val="0"/>
              <w:autoSpaceDN w:val="0"/>
              <w:spacing w:line="293" w:lineRule="exact"/>
              <w:ind w:left="107"/>
              <w:rPr>
                <w:w w:val="110"/>
                <w:sz w:val="20"/>
                <w:szCs w:val="20"/>
              </w:rPr>
            </w:pPr>
            <w:r w:rsidRPr="00EE7081">
              <w:rPr>
                <w:b/>
                <w:bCs/>
                <w:w w:val="110"/>
                <w:sz w:val="20"/>
                <w:szCs w:val="20"/>
              </w:rPr>
              <w:t>Comments:</w:t>
            </w:r>
            <w:r w:rsidRPr="00EE7081">
              <w:rPr>
                <w:w w:val="110"/>
                <w:sz w:val="20"/>
                <w:szCs w:val="20"/>
              </w:rPr>
              <w:t xml:space="preserve"> </w:t>
            </w:r>
          </w:p>
          <w:p w14:paraId="25777403" w14:textId="77777777" w:rsidR="00895F31" w:rsidRPr="00EE7081" w:rsidRDefault="00895F31" w:rsidP="00170312">
            <w:pPr>
              <w:keepLines/>
              <w:tabs>
                <w:tab w:val="left" w:pos="408"/>
              </w:tabs>
              <w:autoSpaceDE w:val="0"/>
              <w:autoSpaceDN w:val="0"/>
              <w:spacing w:line="293" w:lineRule="exact"/>
              <w:ind w:left="107"/>
              <w:jc w:val="center"/>
              <w:rPr>
                <w:sz w:val="20"/>
                <w:szCs w:val="20"/>
              </w:rPr>
            </w:pPr>
          </w:p>
        </w:tc>
      </w:tr>
    </w:tbl>
    <w:p w14:paraId="181AE8F6" w14:textId="71F9EE87" w:rsidR="0052761F" w:rsidRDefault="0052761F" w:rsidP="00EA0734">
      <w:pPr>
        <w:keepLines/>
        <w:autoSpaceDE w:val="0"/>
        <w:autoSpaceDN w:val="0"/>
        <w:rPr>
          <w:rFonts w:eastAsiaTheme="minorHAnsi"/>
          <w:b/>
          <w:bCs/>
          <w:sz w:val="20"/>
          <w:szCs w:val="20"/>
        </w:rPr>
      </w:pPr>
    </w:p>
    <w:p w14:paraId="1C409812" w14:textId="1C496D7E" w:rsidR="00895F31" w:rsidRDefault="00895F31" w:rsidP="00EA0734">
      <w:pPr>
        <w:keepLines/>
        <w:autoSpaceDE w:val="0"/>
        <w:autoSpaceDN w:val="0"/>
        <w:rPr>
          <w:rFonts w:eastAsiaTheme="minorHAnsi"/>
          <w:b/>
          <w:bCs/>
          <w:sz w:val="20"/>
          <w:szCs w:val="20"/>
        </w:rPr>
      </w:pPr>
    </w:p>
    <w:p w14:paraId="47FA3AFD" w14:textId="65B5C8EF" w:rsidR="00DF2096" w:rsidRDefault="00DF2096" w:rsidP="00EA0734">
      <w:pPr>
        <w:keepLines/>
        <w:autoSpaceDE w:val="0"/>
        <w:autoSpaceDN w:val="0"/>
        <w:rPr>
          <w:rFonts w:eastAsiaTheme="minorHAnsi"/>
          <w:b/>
          <w:bCs/>
          <w:sz w:val="20"/>
          <w:szCs w:val="20"/>
        </w:rPr>
      </w:pPr>
    </w:p>
    <w:p w14:paraId="09EA6E8A" w14:textId="019F6553" w:rsidR="00DF2096" w:rsidRDefault="00DF2096" w:rsidP="00EA0734">
      <w:pPr>
        <w:keepLines/>
        <w:autoSpaceDE w:val="0"/>
        <w:autoSpaceDN w:val="0"/>
        <w:rPr>
          <w:rFonts w:eastAsiaTheme="minorHAnsi"/>
          <w:b/>
          <w:bCs/>
          <w:sz w:val="20"/>
          <w:szCs w:val="20"/>
        </w:rPr>
      </w:pPr>
    </w:p>
    <w:p w14:paraId="5AFED5AD" w14:textId="0C2D8B6A" w:rsidR="00DF2096" w:rsidRDefault="00DF2096" w:rsidP="00EA0734">
      <w:pPr>
        <w:keepLines/>
        <w:autoSpaceDE w:val="0"/>
        <w:autoSpaceDN w:val="0"/>
        <w:rPr>
          <w:rFonts w:eastAsiaTheme="minorHAnsi"/>
          <w:b/>
          <w:bCs/>
          <w:sz w:val="20"/>
          <w:szCs w:val="20"/>
        </w:rPr>
      </w:pPr>
    </w:p>
    <w:p w14:paraId="4A4A0B2B" w14:textId="159B4A2A" w:rsidR="00DF2096" w:rsidRDefault="00DF2096" w:rsidP="00EA0734">
      <w:pPr>
        <w:keepLines/>
        <w:autoSpaceDE w:val="0"/>
        <w:autoSpaceDN w:val="0"/>
        <w:rPr>
          <w:rFonts w:eastAsiaTheme="minorHAnsi"/>
          <w:b/>
          <w:bCs/>
          <w:sz w:val="20"/>
          <w:szCs w:val="20"/>
        </w:rPr>
      </w:pPr>
    </w:p>
    <w:p w14:paraId="0178E30F" w14:textId="15AB79F6" w:rsidR="00DF2096" w:rsidRDefault="00DF2096" w:rsidP="00EA0734">
      <w:pPr>
        <w:keepLines/>
        <w:autoSpaceDE w:val="0"/>
        <w:autoSpaceDN w:val="0"/>
        <w:rPr>
          <w:rFonts w:eastAsiaTheme="minorHAnsi"/>
          <w:b/>
          <w:bCs/>
          <w:sz w:val="20"/>
          <w:szCs w:val="20"/>
        </w:rPr>
      </w:pPr>
    </w:p>
    <w:p w14:paraId="3ED7AD27" w14:textId="77777777" w:rsidR="00387880" w:rsidRDefault="00387880" w:rsidP="00EA0734">
      <w:pPr>
        <w:keepLines/>
        <w:autoSpaceDE w:val="0"/>
        <w:autoSpaceDN w:val="0"/>
        <w:rPr>
          <w:rFonts w:eastAsiaTheme="minorHAnsi"/>
          <w:b/>
          <w:bCs/>
          <w:sz w:val="20"/>
          <w:szCs w:val="20"/>
        </w:rPr>
      </w:pPr>
    </w:p>
    <w:p w14:paraId="41E70311" w14:textId="566D68B5" w:rsidR="00DF2096" w:rsidRDefault="00DF2096" w:rsidP="00EA0734">
      <w:pPr>
        <w:keepLines/>
        <w:autoSpaceDE w:val="0"/>
        <w:autoSpaceDN w:val="0"/>
        <w:rPr>
          <w:rFonts w:eastAsiaTheme="minorHAnsi"/>
          <w:b/>
          <w:bCs/>
          <w:sz w:val="20"/>
          <w:szCs w:val="20"/>
        </w:rPr>
      </w:pPr>
    </w:p>
    <w:p w14:paraId="665860E8" w14:textId="77777777" w:rsidR="008A7A3A" w:rsidRDefault="008A7A3A" w:rsidP="00EA0734">
      <w:pPr>
        <w:keepLines/>
        <w:autoSpaceDE w:val="0"/>
        <w:autoSpaceDN w:val="0"/>
        <w:rPr>
          <w:rFonts w:eastAsiaTheme="minorHAnsi"/>
          <w:b/>
          <w:bCs/>
          <w:sz w:val="20"/>
          <w:szCs w:val="20"/>
        </w:rPr>
      </w:pPr>
    </w:p>
    <w:p w14:paraId="4C3401F6" w14:textId="77777777" w:rsidR="008A7A3A" w:rsidRDefault="008A7A3A" w:rsidP="00EA0734">
      <w:pPr>
        <w:keepLines/>
        <w:autoSpaceDE w:val="0"/>
        <w:autoSpaceDN w:val="0"/>
        <w:rPr>
          <w:rFonts w:eastAsiaTheme="minorHAnsi"/>
          <w:b/>
          <w:bCs/>
          <w:sz w:val="20"/>
          <w:szCs w:val="20"/>
        </w:rPr>
      </w:pPr>
    </w:p>
    <w:p w14:paraId="01F70877" w14:textId="77777777" w:rsidR="008A7A3A" w:rsidRDefault="008A7A3A" w:rsidP="00EA0734">
      <w:pPr>
        <w:keepLines/>
        <w:autoSpaceDE w:val="0"/>
        <w:autoSpaceDN w:val="0"/>
        <w:rPr>
          <w:rFonts w:eastAsiaTheme="minorHAnsi"/>
          <w:b/>
          <w:bCs/>
          <w:sz w:val="20"/>
          <w:szCs w:val="20"/>
        </w:rPr>
      </w:pPr>
    </w:p>
    <w:p w14:paraId="3E56D72C" w14:textId="248990A6" w:rsidR="00DF2096" w:rsidRDefault="00DF2096" w:rsidP="00EA0734">
      <w:pPr>
        <w:keepLines/>
        <w:autoSpaceDE w:val="0"/>
        <w:autoSpaceDN w:val="0"/>
        <w:rPr>
          <w:rFonts w:eastAsiaTheme="minorHAnsi"/>
          <w:b/>
          <w:bCs/>
          <w:sz w:val="20"/>
          <w:szCs w:val="20"/>
        </w:rPr>
      </w:pPr>
    </w:p>
    <w:p w14:paraId="4C7EE5BA" w14:textId="3B3FFDF7" w:rsidR="00DF2096" w:rsidRDefault="00DF2096" w:rsidP="00EA0734">
      <w:pPr>
        <w:keepLines/>
        <w:autoSpaceDE w:val="0"/>
        <w:autoSpaceDN w:val="0"/>
        <w:rPr>
          <w:rFonts w:eastAsiaTheme="minorHAnsi"/>
          <w:b/>
          <w:bCs/>
          <w:sz w:val="20"/>
          <w:szCs w:val="20"/>
        </w:rPr>
      </w:pPr>
    </w:p>
    <w:p w14:paraId="6AE79C92" w14:textId="77777777" w:rsidR="00DF2096" w:rsidRDefault="00DF2096" w:rsidP="00EA0734">
      <w:pPr>
        <w:keepLines/>
        <w:autoSpaceDE w:val="0"/>
        <w:autoSpaceDN w:val="0"/>
        <w:rPr>
          <w:rFonts w:eastAsiaTheme="minorHAnsi"/>
          <w:b/>
          <w:bCs/>
          <w:sz w:val="20"/>
          <w:szCs w:val="20"/>
        </w:rPr>
      </w:pPr>
    </w:p>
    <w:p w14:paraId="3BDD3238" w14:textId="77777777" w:rsidR="00DF2096" w:rsidRDefault="00DF2096" w:rsidP="00EA0734">
      <w:pPr>
        <w:keepLines/>
        <w:autoSpaceDE w:val="0"/>
        <w:autoSpaceDN w:val="0"/>
        <w:rPr>
          <w:rFonts w:eastAsiaTheme="minorHAnsi"/>
          <w:b/>
          <w:bCs/>
          <w:sz w:val="20"/>
          <w:szCs w:val="20"/>
        </w:rPr>
      </w:pPr>
    </w:p>
    <w:p w14:paraId="6F254CBC" w14:textId="4C0D444C" w:rsidR="00076645" w:rsidRDefault="00387880" w:rsidP="00EA0734">
      <w:pPr>
        <w:keepLines/>
        <w:autoSpaceDE w:val="0"/>
        <w:autoSpaceDN w:val="0"/>
        <w:rPr>
          <w:rFonts w:eastAsiaTheme="minorHAnsi"/>
          <w:b/>
          <w:bCs/>
          <w:sz w:val="20"/>
          <w:szCs w:val="20"/>
        </w:rPr>
      </w:pPr>
      <w:r>
        <w:rPr>
          <w:noProof/>
        </w:rPr>
        <w:drawing>
          <wp:inline distT="0" distB="0" distL="0" distR="0" wp14:anchorId="0B3937D7" wp14:editId="77F542F1">
            <wp:extent cx="2700742" cy="75184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711718" cy="754896"/>
                    </a:xfrm>
                    <a:prstGeom prst="rect">
                      <a:avLst/>
                    </a:prstGeom>
                    <a:noFill/>
                    <a:ln>
                      <a:noFill/>
                    </a:ln>
                  </pic:spPr>
                </pic:pic>
              </a:graphicData>
            </a:graphic>
          </wp:inline>
        </w:drawing>
      </w:r>
    </w:p>
    <w:p w14:paraId="13D70CB8" w14:textId="77777777" w:rsidR="00AC07C7" w:rsidRDefault="00AC07C7" w:rsidP="00EA0734">
      <w:pPr>
        <w:keepLines/>
        <w:autoSpaceDE w:val="0"/>
        <w:autoSpaceDN w:val="0"/>
        <w:rPr>
          <w:rFonts w:eastAsiaTheme="minorHAnsi"/>
          <w:b/>
          <w:bCs/>
          <w:sz w:val="20"/>
          <w:szCs w:val="20"/>
        </w:rPr>
      </w:pPr>
    </w:p>
    <w:p w14:paraId="50CBD903" w14:textId="2DE1253C" w:rsidR="008D2C16" w:rsidRPr="00EE7081" w:rsidRDefault="008D2C16" w:rsidP="009F628C">
      <w:pPr>
        <w:keepLines/>
        <w:rPr>
          <w:rFonts w:eastAsia="Calibri"/>
        </w:rPr>
      </w:pPr>
    </w:p>
    <w:sectPr w:rsidR="008D2C16" w:rsidRPr="00EE7081" w:rsidSect="00F8371C">
      <w:headerReference w:type="default" r:id="rId5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A4AA8" w14:textId="77777777" w:rsidR="008A4BD4" w:rsidRDefault="008A4BD4">
      <w:r>
        <w:separator/>
      </w:r>
    </w:p>
  </w:endnote>
  <w:endnote w:type="continuationSeparator" w:id="0">
    <w:p w14:paraId="02239858" w14:textId="77777777" w:rsidR="008A4BD4" w:rsidRDefault="008A4BD4">
      <w:r>
        <w:continuationSeparator/>
      </w:r>
    </w:p>
  </w:endnote>
  <w:endnote w:type="continuationNotice" w:id="1">
    <w:p w14:paraId="2A3920E1" w14:textId="77777777" w:rsidR="008A4BD4" w:rsidRDefault="008A4B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mianSlabSerifTypeface">
    <w:panose1 w:val="02000000000000000000"/>
    <w:charset w:val="00"/>
    <w:family w:val="modern"/>
    <w:notTrueType/>
    <w:pitch w:val="variable"/>
    <w:sig w:usb0="A000022F" w:usb1="4000A46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Caslon Pro">
    <w:altName w:val="Times New Roman"/>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KJJO B+ New Century Schlbk">
    <w:altName w:val="Century Schoolbook"/>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606756"/>
      <w:docPartObj>
        <w:docPartGallery w:val="Page Numbers (Bottom of Page)"/>
        <w:docPartUnique/>
      </w:docPartObj>
    </w:sdtPr>
    <w:sdtEndPr>
      <w:rPr>
        <w:noProof/>
      </w:rPr>
    </w:sdtEndPr>
    <w:sdtContent>
      <w:p w14:paraId="411E2E3A" w14:textId="5CF67589" w:rsidR="0072217D" w:rsidRDefault="0072217D">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441E8644" w14:textId="77777777" w:rsidR="0072217D" w:rsidRDefault="00722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B8E1" w14:textId="77777777" w:rsidR="0050590F" w:rsidRDefault="0050590F" w:rsidP="00993FB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D500" w14:textId="77777777" w:rsidR="0072217D" w:rsidRDefault="007221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271880"/>
      <w:docPartObj>
        <w:docPartGallery w:val="Page Numbers (Bottom of Page)"/>
        <w:docPartUnique/>
      </w:docPartObj>
    </w:sdtPr>
    <w:sdtEndPr>
      <w:rPr>
        <w:noProof/>
      </w:rPr>
    </w:sdtEndPr>
    <w:sdtContent>
      <w:p w14:paraId="43B322AC" w14:textId="78C0DDE9" w:rsidR="0072217D" w:rsidRDefault="0072217D">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79939D53" w14:textId="77777777" w:rsidR="0072217D" w:rsidRDefault="0072217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666E" w14:textId="0F4B4C75" w:rsidR="0072217D" w:rsidRDefault="0072217D">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p w14:paraId="24BD9910" w14:textId="77777777" w:rsidR="0072217D" w:rsidRDefault="00722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7A6A4" w14:textId="77777777" w:rsidR="008A4BD4" w:rsidRDefault="008A4BD4">
      <w:r>
        <w:separator/>
      </w:r>
    </w:p>
  </w:footnote>
  <w:footnote w:type="continuationSeparator" w:id="0">
    <w:p w14:paraId="663D75A0" w14:textId="77777777" w:rsidR="008A4BD4" w:rsidRDefault="008A4BD4">
      <w:r>
        <w:continuationSeparator/>
      </w:r>
    </w:p>
  </w:footnote>
  <w:footnote w:type="continuationNotice" w:id="1">
    <w:p w14:paraId="6215BBEA" w14:textId="77777777" w:rsidR="008A4BD4" w:rsidRDefault="008A4BD4"/>
  </w:footnote>
  <w:footnote w:id="2">
    <w:p w14:paraId="1D693082" w14:textId="77777777" w:rsidR="00AD0EAA" w:rsidRDefault="00AD0EAA" w:rsidP="00AD0EAA">
      <w:pPr>
        <w:pStyle w:val="FootnoteText"/>
      </w:pPr>
      <w:r>
        <w:rPr>
          <w:rStyle w:val="FootnoteReference"/>
        </w:rPr>
        <w:footnoteRef/>
      </w:r>
      <w:r>
        <w:t xml:space="preserve"> TDLWD reserves the right to reinstate a local match requirement if it becomes necessary </w:t>
      </w:r>
      <w:proofErr w:type="gramStart"/>
      <w:r>
        <w:t>in order to</w:t>
      </w:r>
      <w:proofErr w:type="gramEnd"/>
      <w:r>
        <w:t xml:space="preserve"> meet the minimum state match requirement established in WIOA.</w:t>
      </w:r>
    </w:p>
  </w:footnote>
  <w:footnote w:id="3">
    <w:p w14:paraId="0FCE8A51" w14:textId="77777777" w:rsidR="00514DA3" w:rsidRDefault="00514DA3" w:rsidP="00514DA3">
      <w:pPr>
        <w:pStyle w:val="FootnoteText"/>
      </w:pPr>
      <w:r>
        <w:rPr>
          <w:rStyle w:val="FootnoteReference"/>
        </w:rPr>
        <w:footnoteRef/>
      </w:r>
      <w:r>
        <w:t xml:space="preserve"> </w:t>
      </w:r>
      <w:r w:rsidRPr="00A40164">
        <w:t>T</w:t>
      </w:r>
      <w:r>
        <w:t xml:space="preserve">DLWD </w:t>
      </w:r>
      <w:r w:rsidRPr="00A40164">
        <w:t>reserves the right to reject any application for failure to comply with the instructions in this guide. T</w:t>
      </w:r>
      <w:r>
        <w:t>DLWD may</w:t>
      </w:r>
      <w:r w:rsidRPr="00A40164">
        <w:t xml:space="preserve"> contact applicants for clarification of their applications</w:t>
      </w:r>
      <w:r>
        <w:t xml:space="preserve"> as necessary</w:t>
      </w:r>
      <w:r w:rsidRPr="00A40164">
        <w:t>.</w:t>
      </w:r>
    </w:p>
  </w:footnote>
  <w:footnote w:id="4">
    <w:p w14:paraId="40315B39" w14:textId="179656D2" w:rsidR="00E6678A" w:rsidRDefault="00E6678A" w:rsidP="00E6678A">
      <w:pPr>
        <w:pStyle w:val="FootnoteText"/>
      </w:pPr>
      <w:r>
        <w:rPr>
          <w:rStyle w:val="FootnoteReference"/>
        </w:rPr>
        <w:footnoteRef/>
      </w:r>
      <w:r>
        <w:t xml:space="preserve"> </w:t>
      </w:r>
      <w:r w:rsidRPr="0067267D">
        <w:t xml:space="preserve">See </w:t>
      </w:r>
      <w:hyperlink r:id="rId1" w:history="1">
        <w:r w:rsidRPr="0067267D">
          <w:rPr>
            <w:rStyle w:val="Hyperlink"/>
          </w:rPr>
          <w:t xml:space="preserve">34 CFR </w:t>
        </w:r>
        <w:r w:rsidRPr="0067267D">
          <w:rPr>
            <w:rStyle w:val="Hyperlink"/>
            <w:szCs w:val="24"/>
          </w:rPr>
          <w:t>§463.</w:t>
        </w:r>
        <w:r>
          <w:rPr>
            <w:rStyle w:val="Hyperlink"/>
            <w:szCs w:val="24"/>
          </w:rPr>
          <w:t>1</w:t>
        </w:r>
      </w:hyperlink>
    </w:p>
  </w:footnote>
  <w:footnote w:id="5">
    <w:p w14:paraId="611D773E" w14:textId="44516FD8" w:rsidR="00532F5D" w:rsidRDefault="00532F5D">
      <w:pPr>
        <w:pStyle w:val="FootnoteText"/>
      </w:pPr>
      <w:r>
        <w:rPr>
          <w:rStyle w:val="FootnoteReference"/>
        </w:rPr>
        <w:footnoteRef/>
      </w:r>
      <w:r>
        <w:t xml:space="preserve"> In a </w:t>
      </w:r>
      <w:r w:rsidR="004C753D">
        <w:t>consortium</w:t>
      </w:r>
      <w:r>
        <w:t>,</w:t>
      </w:r>
      <w:r w:rsidRPr="00532F5D">
        <w:t xml:space="preserve"> multiple agencies partner together to serve an area via one grant—only one application would be submitted to represent all agencies within the consortium. In a consortium, one agency acts as the fiscal agent and subcontracts to its partner agencies.</w:t>
      </w:r>
    </w:p>
  </w:footnote>
  <w:footnote w:id="6">
    <w:p w14:paraId="07D0281E" w14:textId="573FF345" w:rsidR="00BF4940" w:rsidRDefault="00BF4940" w:rsidP="00BF4940">
      <w:pPr>
        <w:pStyle w:val="FootnoteText"/>
      </w:pPr>
      <w:r w:rsidRPr="00EB40A0">
        <w:rPr>
          <w:vertAlign w:val="superscript"/>
        </w:rPr>
        <w:footnoteRef/>
      </w:r>
      <w:r w:rsidRPr="00EB40A0">
        <w:t xml:space="preserve"> See </w:t>
      </w:r>
      <w:hyperlink r:id="rId2" w:anchor="page=185" w:history="1">
        <w:r w:rsidR="00EB40A0" w:rsidRPr="000C7F15">
          <w:rPr>
            <w:rStyle w:val="Hyperlink"/>
          </w:rPr>
          <w:t>WIOA Title II §203(5)</w:t>
        </w:r>
      </w:hyperlink>
    </w:p>
  </w:footnote>
  <w:footnote w:id="7">
    <w:p w14:paraId="4900CDB0" w14:textId="7C85E3A8" w:rsidR="00DB5A39" w:rsidRPr="000A32EB" w:rsidRDefault="00DB5A39" w:rsidP="00DB5A39">
      <w:pPr>
        <w:pStyle w:val="FootnoteText"/>
      </w:pPr>
      <w:r w:rsidRPr="007836E0">
        <w:rPr>
          <w:vertAlign w:val="superscript"/>
        </w:rPr>
        <w:footnoteRef/>
      </w:r>
      <w:r w:rsidRPr="007836E0">
        <w:t xml:space="preserve"> See </w:t>
      </w:r>
      <w:hyperlink r:id="rId3" w:history="1">
        <w:r w:rsidR="008139F8" w:rsidRPr="00C11528">
          <w:rPr>
            <w:rStyle w:val="Hyperlink"/>
          </w:rPr>
          <w:t>34 CFR §463.75</w:t>
        </w:r>
      </w:hyperlink>
      <w:r w:rsidR="008139F8">
        <w:t xml:space="preserve"> and </w:t>
      </w:r>
      <w:hyperlink r:id="rId4" w:anchor="page=185" w:history="1">
        <w:r w:rsidRPr="007836E0">
          <w:rPr>
            <w:rStyle w:val="Hyperlink"/>
          </w:rPr>
          <w:t>WIOA Title II §203(4)</w:t>
        </w:r>
      </w:hyperlink>
    </w:p>
  </w:footnote>
  <w:footnote w:id="8">
    <w:p w14:paraId="7CD51D78" w14:textId="68A6283B" w:rsidR="008617FF" w:rsidRDefault="008617FF" w:rsidP="008617FF">
      <w:pPr>
        <w:pStyle w:val="FootnoteText"/>
      </w:pPr>
      <w:r w:rsidRPr="0067267D">
        <w:rPr>
          <w:rStyle w:val="FootnoteReference"/>
        </w:rPr>
        <w:footnoteRef/>
      </w:r>
      <w:r w:rsidRPr="0067267D">
        <w:t xml:space="preserve"> See </w:t>
      </w:r>
      <w:hyperlink r:id="rId5" w:anchor="page=187" w:history="1">
        <w:r w:rsidRPr="0067267D">
          <w:rPr>
            <w:rStyle w:val="Hyperlink"/>
          </w:rPr>
          <w:t>WIOA Title II §203(12)</w:t>
        </w:r>
      </w:hyperlink>
    </w:p>
  </w:footnote>
  <w:footnote w:id="9">
    <w:p w14:paraId="16D8889F" w14:textId="127AEAE6" w:rsidR="008617FF" w:rsidRDefault="008617FF" w:rsidP="008617FF">
      <w:pPr>
        <w:pStyle w:val="FootnoteText"/>
      </w:pPr>
      <w:r w:rsidRPr="00000059">
        <w:rPr>
          <w:vertAlign w:val="superscript"/>
        </w:rPr>
        <w:footnoteRef/>
      </w:r>
      <w:r w:rsidRPr="00000059">
        <w:t xml:space="preserve"> </w:t>
      </w:r>
      <w:r w:rsidR="00000059" w:rsidRPr="007836E0">
        <w:t xml:space="preserve">See </w:t>
      </w:r>
      <w:hyperlink r:id="rId6" w:history="1">
        <w:r w:rsidR="00000059">
          <w:rPr>
            <w:rStyle w:val="Hyperlink"/>
          </w:rPr>
          <w:t>34 CFR §463.70(c)</w:t>
        </w:r>
      </w:hyperlink>
      <w:r w:rsidR="0063311A">
        <w:t>,</w:t>
      </w:r>
      <w:r w:rsidR="000D62E9">
        <w:t xml:space="preserve"> </w:t>
      </w:r>
      <w:hyperlink r:id="rId7" w:history="1">
        <w:r w:rsidR="00F0657A">
          <w:rPr>
            <w:rStyle w:val="Hyperlink"/>
          </w:rPr>
          <w:t>34 CFR §463.36</w:t>
        </w:r>
      </w:hyperlink>
      <w:r w:rsidR="00DA49B2">
        <w:t xml:space="preserve">, and </w:t>
      </w:r>
      <w:hyperlink r:id="rId8" w:history="1">
        <w:r w:rsidR="00DA49B2">
          <w:rPr>
            <w:rStyle w:val="Hyperlink"/>
          </w:rPr>
          <w:t>34 CFR §463.74</w:t>
        </w:r>
      </w:hyperlink>
      <w:r w:rsidR="00DA49B2">
        <w:t xml:space="preserve">. IET activities are not required for every IELCE student, but must be made available. IELCE programs can co-enroll students in IET programs provided by other agencies—such as an ABE grantee—or can use grant funds to develop IET programs. </w:t>
      </w:r>
      <w:r w:rsidR="00DA49B2" w:rsidRPr="0079716A">
        <w:t>IET programs should be designed in coordination with training providers and concurrently provide instruction in the technical</w:t>
      </w:r>
      <w:r w:rsidR="00DA49B2">
        <w:t>, academic, and workforce preparedness</w:t>
      </w:r>
      <w:r w:rsidR="00DA49B2" w:rsidRPr="0079716A">
        <w:t xml:space="preserve"> skills needed to succeed in the training program</w:t>
      </w:r>
      <w:r w:rsidR="005E7039">
        <w:t>.</w:t>
      </w:r>
    </w:p>
  </w:footnote>
  <w:footnote w:id="10">
    <w:p w14:paraId="7698D6AB" w14:textId="22BB1792" w:rsidR="00B60CC7" w:rsidRDefault="00B60CC7">
      <w:pPr>
        <w:pStyle w:val="FootnoteText"/>
      </w:pPr>
      <w:r>
        <w:rPr>
          <w:rStyle w:val="FootnoteReference"/>
        </w:rPr>
        <w:footnoteRef/>
      </w:r>
      <w:r>
        <w:t xml:space="preserve"> </w:t>
      </w:r>
      <w:r w:rsidRPr="00622396">
        <w:t xml:space="preserve">See </w:t>
      </w:r>
      <w:hyperlink r:id="rId9" w:history="1">
        <w:r>
          <w:rPr>
            <w:rStyle w:val="Hyperlink"/>
            <w:szCs w:val="24"/>
          </w:rPr>
          <w:t>34 CFR §463.73</w:t>
        </w:r>
      </w:hyperlink>
    </w:p>
  </w:footnote>
  <w:footnote w:id="11">
    <w:p w14:paraId="4CB7CE6F" w14:textId="65891256" w:rsidR="001E3830" w:rsidRDefault="001E3830">
      <w:pPr>
        <w:pStyle w:val="FootnoteText"/>
      </w:pPr>
      <w:r>
        <w:rPr>
          <w:rStyle w:val="FootnoteReference"/>
        </w:rPr>
        <w:footnoteRef/>
      </w:r>
      <w:r>
        <w:t xml:space="preserve"> </w:t>
      </w:r>
      <w:bookmarkStart w:id="15" w:name="_Hlk122014126"/>
      <w:r w:rsidRPr="007836E0">
        <w:t xml:space="preserve">See </w:t>
      </w:r>
      <w:hyperlink r:id="rId10" w:anchor="page=187" w:history="1">
        <w:r w:rsidRPr="007836E0">
          <w:rPr>
            <w:rStyle w:val="Hyperlink"/>
          </w:rPr>
          <w:t>WIOA Title II §203(</w:t>
        </w:r>
        <w:r w:rsidR="00BD52A3">
          <w:rPr>
            <w:rStyle w:val="Hyperlink"/>
          </w:rPr>
          <w:t>13</w:t>
        </w:r>
        <w:r w:rsidRPr="007836E0">
          <w:rPr>
            <w:rStyle w:val="Hyperlink"/>
          </w:rPr>
          <w:t>)</w:t>
        </w:r>
      </w:hyperlink>
      <w:bookmarkEnd w:id="15"/>
    </w:p>
  </w:footnote>
  <w:footnote w:id="12">
    <w:p w14:paraId="5477F282" w14:textId="666E1483" w:rsidR="00F86D3C" w:rsidRPr="00F80CAE" w:rsidRDefault="00F86D3C" w:rsidP="00F86D3C">
      <w:pPr>
        <w:pStyle w:val="FootnoteText"/>
      </w:pPr>
      <w:r w:rsidRPr="00622396">
        <w:rPr>
          <w:vertAlign w:val="superscript"/>
        </w:rPr>
        <w:footnoteRef/>
      </w:r>
      <w:r w:rsidRPr="00622396">
        <w:t xml:space="preserve"> </w:t>
      </w:r>
      <w:bookmarkStart w:id="16" w:name="_Hlk54183790"/>
      <w:r w:rsidRPr="00622396">
        <w:t xml:space="preserve">See </w:t>
      </w:r>
      <w:bookmarkEnd w:id="16"/>
      <w:r w:rsidR="00121380">
        <w:fldChar w:fldCharType="begin"/>
      </w:r>
      <w:r w:rsidR="00164DC7">
        <w:instrText>HYPERLINK "https://www.ecfr.gov/current/title-34/subtitle-B/chapter-IV/part-463/subpart-D/section-463.31"</w:instrText>
      </w:r>
      <w:r w:rsidR="00121380">
        <w:fldChar w:fldCharType="separate"/>
      </w:r>
      <w:r w:rsidR="00FD64A0">
        <w:rPr>
          <w:rStyle w:val="Hyperlink"/>
          <w:szCs w:val="24"/>
        </w:rPr>
        <w:t>34 CFR §463.31-32</w:t>
      </w:r>
      <w:r w:rsidR="00121380">
        <w:rPr>
          <w:rStyle w:val="Hyperlink"/>
          <w:szCs w:val="24"/>
        </w:rPr>
        <w:fldChar w:fldCharType="end"/>
      </w:r>
    </w:p>
  </w:footnote>
  <w:footnote w:id="13">
    <w:p w14:paraId="47FD1043" w14:textId="77777777" w:rsidR="005A73CE" w:rsidRPr="00CB6253" w:rsidRDefault="005A73CE" w:rsidP="005A73CE">
      <w:pPr>
        <w:pStyle w:val="FootnoteText"/>
      </w:pPr>
      <w:r w:rsidRPr="00CB6253">
        <w:rPr>
          <w:rStyle w:val="FootnoteReference"/>
        </w:rPr>
        <w:footnoteRef/>
      </w:r>
      <w:r w:rsidRPr="00CB6253">
        <w:t xml:space="preserve"> See </w:t>
      </w:r>
      <w:hyperlink r:id="rId11" w:history="1">
        <w:r w:rsidRPr="00B90178">
          <w:rPr>
            <w:rStyle w:val="Hyperlink"/>
          </w:rPr>
          <w:t xml:space="preserve">34 CFR </w:t>
        </w:r>
        <w:r w:rsidRPr="00B90178">
          <w:rPr>
            <w:rStyle w:val="Hyperlink"/>
            <w:szCs w:val="24"/>
          </w:rPr>
          <w:t>§463.3</w:t>
        </w:r>
        <w:r>
          <w:rPr>
            <w:rStyle w:val="Hyperlink"/>
            <w:szCs w:val="24"/>
          </w:rPr>
          <w:t>5-38</w:t>
        </w:r>
      </w:hyperlink>
    </w:p>
  </w:footnote>
  <w:footnote w:id="14">
    <w:p w14:paraId="19F4FA61" w14:textId="4720A895" w:rsidR="00A244DD" w:rsidRPr="00F80CAE" w:rsidRDefault="00A244DD" w:rsidP="00A244DD">
      <w:pPr>
        <w:pStyle w:val="FootnoteText"/>
      </w:pPr>
      <w:r w:rsidRPr="004A2530">
        <w:rPr>
          <w:vertAlign w:val="superscript"/>
        </w:rPr>
        <w:footnoteRef/>
      </w:r>
      <w:r w:rsidRPr="004A2530">
        <w:t xml:space="preserve"> See </w:t>
      </w:r>
      <w:hyperlink r:id="rId12" w:history="1">
        <w:r w:rsidR="00734585" w:rsidRPr="00B90178">
          <w:rPr>
            <w:rStyle w:val="Hyperlink"/>
          </w:rPr>
          <w:t xml:space="preserve">34 CFR </w:t>
        </w:r>
        <w:r w:rsidR="00734585" w:rsidRPr="00B90178">
          <w:rPr>
            <w:rStyle w:val="Hyperlink"/>
            <w:szCs w:val="24"/>
          </w:rPr>
          <w:t>§463.3</w:t>
        </w:r>
        <w:r w:rsidR="00734585">
          <w:rPr>
            <w:rStyle w:val="Hyperlink"/>
            <w:szCs w:val="24"/>
          </w:rPr>
          <w:t>4</w:t>
        </w:r>
      </w:hyperlink>
    </w:p>
  </w:footnote>
  <w:footnote w:id="15">
    <w:p w14:paraId="35F23564" w14:textId="123D9598" w:rsidR="000D35DA" w:rsidRPr="000D35DA" w:rsidRDefault="000D35DA" w:rsidP="000D35DA">
      <w:pPr>
        <w:pStyle w:val="NormalWeb"/>
        <w:spacing w:before="0" w:beforeAutospacing="0" w:after="0" w:afterAutospacing="0"/>
        <w:rPr>
          <w:sz w:val="20"/>
          <w:szCs w:val="20"/>
        </w:rPr>
      </w:pPr>
      <w:r>
        <w:rPr>
          <w:rStyle w:val="FootnoteReference"/>
        </w:rPr>
        <w:footnoteRef/>
      </w:r>
      <w:r>
        <w:t xml:space="preserve"> </w:t>
      </w:r>
      <w:r>
        <w:rPr>
          <w:sz w:val="20"/>
          <w:szCs w:val="20"/>
        </w:rPr>
        <w:t xml:space="preserve">This is a simplified definition; there are additional stipulations to count a secondary school diploma or recognized postsecondary credential for the credential attainment rate. These can be found in the </w:t>
      </w:r>
      <w:hyperlink r:id="rId13" w:anchor="page=21" w:history="1">
        <w:r>
          <w:rPr>
            <w:rStyle w:val="Hyperlink"/>
            <w:sz w:val="20"/>
            <w:szCs w:val="20"/>
          </w:rPr>
          <w:t>Technical Assistance Guide from the National Reporting System for Adult Education</w:t>
        </w:r>
      </w:hyperlink>
      <w:r>
        <w:rPr>
          <w:sz w:val="20"/>
          <w:szCs w:val="20"/>
        </w:rPr>
        <w:t>.</w:t>
      </w:r>
    </w:p>
  </w:footnote>
  <w:footnote w:id="16">
    <w:p w14:paraId="349E0A2B" w14:textId="0D3DFEDD" w:rsidR="0063742F" w:rsidRPr="00CB6253" w:rsidRDefault="0063742F" w:rsidP="0063742F">
      <w:pPr>
        <w:rPr>
          <w:rFonts w:eastAsia="Open Sans"/>
          <w:sz w:val="20"/>
          <w:szCs w:val="20"/>
        </w:rPr>
      </w:pPr>
      <w:r w:rsidRPr="00CB6253">
        <w:rPr>
          <w:sz w:val="20"/>
          <w:szCs w:val="20"/>
          <w:vertAlign w:val="superscript"/>
        </w:rPr>
        <w:footnoteRef/>
      </w:r>
      <w:r w:rsidRPr="00CB6253">
        <w:rPr>
          <w:rFonts w:eastAsia="Open Sans"/>
          <w:sz w:val="20"/>
          <w:szCs w:val="20"/>
        </w:rPr>
        <w:t xml:space="preserve"> See </w:t>
      </w:r>
      <w:hyperlink r:id="rId14" w:history="1">
        <w:r w:rsidRPr="0097328A">
          <w:rPr>
            <w:rStyle w:val="Hyperlink"/>
            <w:rFonts w:eastAsia="Open Sans"/>
            <w:sz w:val="20"/>
            <w:szCs w:val="20"/>
          </w:rPr>
          <w:t xml:space="preserve">2 CFR </w:t>
        </w:r>
        <w:r w:rsidR="00BD2DE1" w:rsidRPr="00BD2DE1">
          <w:rPr>
            <w:rStyle w:val="Hyperlink"/>
            <w:rFonts w:eastAsia="Open Sans"/>
            <w:sz w:val="20"/>
            <w:szCs w:val="20"/>
          </w:rPr>
          <w:t>§</w:t>
        </w:r>
        <w:r w:rsidRPr="0097328A">
          <w:rPr>
            <w:rStyle w:val="Hyperlink"/>
            <w:rFonts w:eastAsia="Open Sans"/>
            <w:sz w:val="20"/>
            <w:szCs w:val="20"/>
          </w:rPr>
          <w:t>200.403</w:t>
        </w:r>
      </w:hyperlink>
    </w:p>
  </w:footnote>
  <w:footnote w:id="17">
    <w:p w14:paraId="2DF8E12C" w14:textId="1E670A0D" w:rsidR="0063742F" w:rsidRPr="00CB6253" w:rsidRDefault="0063742F" w:rsidP="0063742F">
      <w:pPr>
        <w:rPr>
          <w:rFonts w:eastAsia="Open Sans"/>
          <w:sz w:val="20"/>
          <w:szCs w:val="20"/>
        </w:rPr>
      </w:pPr>
      <w:r w:rsidRPr="00CB6253">
        <w:rPr>
          <w:sz w:val="20"/>
          <w:szCs w:val="20"/>
          <w:vertAlign w:val="superscript"/>
        </w:rPr>
        <w:footnoteRef/>
      </w:r>
      <w:r w:rsidRPr="00CB6253">
        <w:rPr>
          <w:rFonts w:eastAsia="Open Sans"/>
          <w:sz w:val="20"/>
          <w:szCs w:val="20"/>
        </w:rPr>
        <w:t xml:space="preserve"> See </w:t>
      </w:r>
      <w:hyperlink r:id="rId15" w:history="1">
        <w:r w:rsidRPr="0097328A">
          <w:rPr>
            <w:rStyle w:val="Hyperlink"/>
            <w:rFonts w:eastAsia="Open Sans"/>
            <w:sz w:val="20"/>
            <w:szCs w:val="20"/>
          </w:rPr>
          <w:t xml:space="preserve">2 CFR </w:t>
        </w:r>
        <w:r w:rsidR="00BD2DE1" w:rsidRPr="00BD2DE1">
          <w:rPr>
            <w:rStyle w:val="Hyperlink"/>
            <w:rFonts w:eastAsia="Open Sans"/>
            <w:sz w:val="20"/>
            <w:szCs w:val="20"/>
          </w:rPr>
          <w:t>§</w:t>
        </w:r>
        <w:r w:rsidRPr="0097328A">
          <w:rPr>
            <w:rStyle w:val="Hyperlink"/>
            <w:rFonts w:eastAsia="Open Sans"/>
            <w:sz w:val="20"/>
            <w:szCs w:val="20"/>
          </w:rPr>
          <w:t>200.404</w:t>
        </w:r>
      </w:hyperlink>
    </w:p>
  </w:footnote>
  <w:footnote w:id="18">
    <w:p w14:paraId="3FE32EC0" w14:textId="71F95D2D" w:rsidR="0063742F" w:rsidRDefault="0063742F" w:rsidP="0063742F">
      <w:pPr>
        <w:rPr>
          <w:rFonts w:eastAsia="Open Sans"/>
        </w:rPr>
      </w:pPr>
      <w:r w:rsidRPr="00CB6253">
        <w:rPr>
          <w:sz w:val="20"/>
          <w:szCs w:val="20"/>
          <w:vertAlign w:val="superscript"/>
        </w:rPr>
        <w:footnoteRef/>
      </w:r>
      <w:r w:rsidRPr="00CB6253">
        <w:rPr>
          <w:rFonts w:eastAsia="Open Sans"/>
          <w:sz w:val="20"/>
          <w:szCs w:val="20"/>
        </w:rPr>
        <w:t xml:space="preserve"> See </w:t>
      </w:r>
      <w:hyperlink r:id="rId16" w:history="1">
        <w:r w:rsidRPr="0097328A">
          <w:rPr>
            <w:rStyle w:val="Hyperlink"/>
            <w:rFonts w:eastAsia="Open Sans"/>
            <w:sz w:val="20"/>
            <w:szCs w:val="20"/>
          </w:rPr>
          <w:t xml:space="preserve">2 CFR </w:t>
        </w:r>
        <w:r w:rsidR="00BD2DE1" w:rsidRPr="00BD2DE1">
          <w:rPr>
            <w:rStyle w:val="Hyperlink"/>
            <w:rFonts w:eastAsia="Open Sans"/>
            <w:sz w:val="20"/>
            <w:szCs w:val="20"/>
          </w:rPr>
          <w:t>§</w:t>
        </w:r>
        <w:r w:rsidRPr="0097328A">
          <w:rPr>
            <w:rStyle w:val="Hyperlink"/>
            <w:rFonts w:eastAsia="Open Sans"/>
            <w:sz w:val="20"/>
            <w:szCs w:val="20"/>
          </w:rPr>
          <w:t>200.405</w:t>
        </w:r>
      </w:hyperlink>
    </w:p>
  </w:footnote>
  <w:footnote w:id="19">
    <w:p w14:paraId="40336CB8" w14:textId="44E45333" w:rsidR="009F62C3" w:rsidRPr="001004AE" w:rsidRDefault="009F62C3">
      <w:pPr>
        <w:pStyle w:val="FootnoteText"/>
      </w:pPr>
      <w:r w:rsidRPr="001004AE">
        <w:rPr>
          <w:rStyle w:val="FootnoteReference"/>
        </w:rPr>
        <w:footnoteRef/>
      </w:r>
      <w:r w:rsidRPr="001004AE">
        <w:t xml:space="preserve"> </w:t>
      </w:r>
      <w:r w:rsidR="00AC532F" w:rsidRPr="001004AE">
        <w:t xml:space="preserve">State Adult Education General </w:t>
      </w:r>
      <w:r w:rsidR="00B92F77">
        <w:t>funds</w:t>
      </w:r>
      <w:r w:rsidR="00AC532F" w:rsidRPr="001004AE">
        <w:t xml:space="preserve"> </w:t>
      </w:r>
      <w:r w:rsidR="001004AE" w:rsidRPr="001004AE">
        <w:t>are allowed to be used for these costs</w:t>
      </w:r>
    </w:p>
  </w:footnote>
  <w:footnote w:id="20">
    <w:p w14:paraId="09854675" w14:textId="56ECB574" w:rsidR="0063742F" w:rsidRPr="005F3D90" w:rsidRDefault="0063742F" w:rsidP="0063742F">
      <w:pPr>
        <w:rPr>
          <w:sz w:val="20"/>
          <w:szCs w:val="20"/>
        </w:rPr>
      </w:pPr>
      <w:r w:rsidRPr="005F3D90">
        <w:rPr>
          <w:sz w:val="20"/>
          <w:szCs w:val="20"/>
          <w:vertAlign w:val="superscript"/>
        </w:rPr>
        <w:footnoteRef/>
      </w:r>
      <w:r w:rsidRPr="005F3D90">
        <w:rPr>
          <w:sz w:val="20"/>
          <w:szCs w:val="20"/>
        </w:rPr>
        <w:t xml:space="preserve"> </w:t>
      </w:r>
      <w:r w:rsidRPr="005F3D90">
        <w:rPr>
          <w:rFonts w:eastAsia="Open Sans"/>
          <w:sz w:val="20"/>
          <w:szCs w:val="20"/>
        </w:rPr>
        <w:t xml:space="preserve">See </w:t>
      </w:r>
      <w:hyperlink r:id="rId17" w:anchor="page=196" w:history="1">
        <w:r w:rsidRPr="006051FC">
          <w:rPr>
            <w:rStyle w:val="Hyperlink"/>
            <w:rFonts w:eastAsia="Open Sans"/>
            <w:sz w:val="20"/>
            <w:szCs w:val="20"/>
          </w:rPr>
          <w:t xml:space="preserve">WIOA Title II </w:t>
        </w:r>
        <w:r w:rsidR="00BD2DE1" w:rsidRPr="00BD2DE1">
          <w:rPr>
            <w:rStyle w:val="Hyperlink"/>
            <w:rFonts w:eastAsia="Open Sans"/>
            <w:sz w:val="20"/>
            <w:szCs w:val="20"/>
          </w:rPr>
          <w:t>§</w:t>
        </w:r>
        <w:r w:rsidRPr="006051FC">
          <w:rPr>
            <w:rStyle w:val="Hyperlink"/>
            <w:rFonts w:eastAsia="Open Sans"/>
            <w:sz w:val="20"/>
            <w:szCs w:val="20"/>
          </w:rPr>
          <w:t>241(a)</w:t>
        </w:r>
      </w:hyperlink>
    </w:p>
  </w:footnote>
  <w:footnote w:id="21">
    <w:p w14:paraId="58ECADA6" w14:textId="0439D76F" w:rsidR="0063742F" w:rsidRDefault="0063742F" w:rsidP="0063742F">
      <w:pPr>
        <w:pStyle w:val="FootnoteText"/>
      </w:pPr>
      <w:r>
        <w:rPr>
          <w:rStyle w:val="FootnoteReference"/>
        </w:rPr>
        <w:footnoteRef/>
      </w:r>
      <w:r>
        <w:t xml:space="preserve"> </w:t>
      </w:r>
      <w:r w:rsidRPr="005F3D90">
        <w:rPr>
          <w:rFonts w:eastAsia="Open Sans"/>
        </w:rPr>
        <w:t xml:space="preserve">See </w:t>
      </w:r>
      <w:hyperlink r:id="rId18" w:history="1">
        <w:r w:rsidRPr="00F3426A">
          <w:rPr>
            <w:rStyle w:val="Hyperlink"/>
            <w:rFonts w:eastAsia="Open Sans"/>
          </w:rPr>
          <w:t xml:space="preserve">34 CFR </w:t>
        </w:r>
        <w:r w:rsidRPr="00F3426A">
          <w:rPr>
            <w:rStyle w:val="Hyperlink"/>
            <w:rFonts w:eastAsia="Open Sans"/>
            <w:highlight w:val="white"/>
          </w:rPr>
          <w:t>§</w:t>
        </w:r>
        <w:r w:rsidRPr="00F3426A">
          <w:rPr>
            <w:rStyle w:val="Hyperlink"/>
            <w:rFonts w:eastAsia="Open Sans"/>
          </w:rPr>
          <w:t>463.25</w:t>
        </w:r>
      </w:hyperlink>
    </w:p>
  </w:footnote>
  <w:footnote w:id="22">
    <w:p w14:paraId="6FEE02D8" w14:textId="77777777" w:rsidR="00283BD2" w:rsidRPr="00C04335" w:rsidRDefault="00283BD2" w:rsidP="00283BD2">
      <w:pPr>
        <w:pStyle w:val="FootnoteText"/>
      </w:pPr>
      <w:r>
        <w:rPr>
          <w:rStyle w:val="FootnoteReference"/>
        </w:rPr>
        <w:footnoteRef/>
      </w:r>
      <w:r>
        <w:t xml:space="preserve"> Applicants are </w:t>
      </w:r>
      <w:r>
        <w:rPr>
          <w:i/>
          <w:iCs/>
        </w:rPr>
        <w:t>not</w:t>
      </w:r>
      <w:r>
        <w:t xml:space="preserve"> required to determine local administrative costs in their budget proposals; administrative cost limits will be determined as part of each year’s grant contracting process.</w:t>
      </w:r>
    </w:p>
  </w:footnote>
  <w:footnote w:id="23">
    <w:p w14:paraId="0ACEAD86" w14:textId="5152ECB0" w:rsidR="0063742F" w:rsidRPr="005F3D90" w:rsidRDefault="0063742F" w:rsidP="0063742F">
      <w:pPr>
        <w:pBdr>
          <w:top w:val="nil"/>
          <w:left w:val="nil"/>
          <w:bottom w:val="nil"/>
          <w:right w:val="nil"/>
          <w:between w:val="nil"/>
        </w:pBdr>
        <w:spacing w:after="80"/>
        <w:rPr>
          <w:rFonts w:eastAsia="Open Sans"/>
          <w:sz w:val="20"/>
          <w:szCs w:val="20"/>
        </w:rPr>
      </w:pPr>
      <w:r w:rsidRPr="005F3D90">
        <w:rPr>
          <w:sz w:val="20"/>
          <w:szCs w:val="20"/>
          <w:vertAlign w:val="superscript"/>
        </w:rPr>
        <w:footnoteRef/>
      </w:r>
      <w:r w:rsidRPr="005F3D90">
        <w:rPr>
          <w:sz w:val="20"/>
          <w:szCs w:val="20"/>
        </w:rPr>
        <w:t xml:space="preserve"> </w:t>
      </w:r>
      <w:r w:rsidRPr="005F3D90">
        <w:rPr>
          <w:rFonts w:eastAsia="Open Sans"/>
          <w:sz w:val="20"/>
          <w:szCs w:val="20"/>
        </w:rPr>
        <w:t xml:space="preserve">See </w:t>
      </w:r>
      <w:hyperlink r:id="rId19" w:history="1">
        <w:r w:rsidRPr="003A10A3">
          <w:rPr>
            <w:rStyle w:val="Hyperlink"/>
            <w:rFonts w:eastAsia="Open Sans"/>
            <w:sz w:val="20"/>
            <w:szCs w:val="20"/>
          </w:rPr>
          <w:t xml:space="preserve">34 CFR </w:t>
        </w:r>
        <w:r w:rsidRPr="003A10A3">
          <w:rPr>
            <w:rStyle w:val="Hyperlink"/>
            <w:rFonts w:eastAsia="Open Sans"/>
            <w:sz w:val="20"/>
            <w:szCs w:val="20"/>
            <w:highlight w:val="white"/>
          </w:rPr>
          <w:t>§</w:t>
        </w:r>
        <w:r w:rsidRPr="003A10A3">
          <w:rPr>
            <w:rStyle w:val="Hyperlink"/>
            <w:rFonts w:eastAsia="Open Sans"/>
            <w:sz w:val="20"/>
            <w:szCs w:val="20"/>
          </w:rPr>
          <w:t>463.26</w:t>
        </w:r>
      </w:hyperlink>
      <w:r w:rsidRPr="003A10A3">
        <w:rPr>
          <w:rFonts w:eastAsia="Open Sans"/>
          <w:sz w:val="20"/>
          <w:szCs w:val="20"/>
        </w:rPr>
        <w:t>.</w:t>
      </w:r>
      <w:r w:rsidRPr="005F3D90">
        <w:rPr>
          <w:rFonts w:eastAsia="Open Sans"/>
          <w:sz w:val="20"/>
          <w:szCs w:val="20"/>
        </w:rPr>
        <w:t xml:space="preserve"> The language from the regulation is in italics; the subsequent explanations are from TDLWD and indicate what local programs will be held accountable for.</w:t>
      </w:r>
    </w:p>
  </w:footnote>
  <w:footnote w:id="24">
    <w:p w14:paraId="35E39697" w14:textId="77777777" w:rsidR="0063742F" w:rsidRDefault="0063742F" w:rsidP="0063742F">
      <w:pPr>
        <w:spacing w:after="80"/>
        <w:rPr>
          <w:rFonts w:eastAsia="Open Sans"/>
        </w:rPr>
      </w:pPr>
      <w:r w:rsidRPr="005F3D90">
        <w:rPr>
          <w:sz w:val="20"/>
          <w:szCs w:val="20"/>
          <w:vertAlign w:val="superscript"/>
        </w:rPr>
        <w:footnoteRef/>
      </w:r>
      <w:r w:rsidRPr="005F3D90">
        <w:rPr>
          <w:rFonts w:eastAsia="Open Sans"/>
          <w:sz w:val="20"/>
          <w:szCs w:val="20"/>
        </w:rPr>
        <w:t xml:space="preserve"> Formal professional development activities are different from technical assistance or training. Whereas technical assistance or training is meant to provide staff with a greater understanding of how to implement the grant’s requirements and is typically conducted internally or by TDLWD staff, professional development activities are more supplemental in nature, specially designed to enhance a staff member’s professional skill set more generally relative to their profession. Examples of professional development activities include an instructor who attends a math teacher workshop put on by the local school district, a data specialist who</w:t>
      </w:r>
      <w:r>
        <w:rPr>
          <w:rFonts w:eastAsia="Open Sans"/>
        </w:rPr>
        <w:t xml:space="preserve"> </w:t>
      </w:r>
      <w:r w:rsidRPr="005F3D90">
        <w:rPr>
          <w:rFonts w:eastAsia="Open Sans"/>
          <w:sz w:val="20"/>
          <w:szCs w:val="20"/>
        </w:rPr>
        <w:t>participates in a Microsoft Excel training program, or a program director who attends the national COABE conference.</w:t>
      </w:r>
    </w:p>
  </w:footnote>
  <w:footnote w:id="25">
    <w:p w14:paraId="7714FF6F" w14:textId="17826C8B" w:rsidR="0063742F" w:rsidRPr="001D658A" w:rsidRDefault="0063742F" w:rsidP="0063742F">
      <w:pPr>
        <w:rPr>
          <w:sz w:val="20"/>
          <w:szCs w:val="20"/>
        </w:rPr>
      </w:pPr>
      <w:r w:rsidRPr="001D658A">
        <w:rPr>
          <w:sz w:val="20"/>
          <w:szCs w:val="20"/>
          <w:vertAlign w:val="superscript"/>
        </w:rPr>
        <w:footnoteRef/>
      </w:r>
      <w:r w:rsidRPr="001D658A">
        <w:rPr>
          <w:sz w:val="20"/>
          <w:szCs w:val="20"/>
        </w:rPr>
        <w:t xml:space="preserve"> </w:t>
      </w:r>
      <w:r w:rsidRPr="001D658A">
        <w:rPr>
          <w:rFonts w:eastAsia="Open Sans"/>
          <w:sz w:val="20"/>
          <w:szCs w:val="20"/>
        </w:rPr>
        <w:t xml:space="preserve">See </w:t>
      </w:r>
      <w:hyperlink r:id="rId20" w:anchor="se34.3.463_1420">
        <w:r w:rsidRPr="00EE2BFD">
          <w:rPr>
            <w:rStyle w:val="Hyperlink"/>
            <w:rFonts w:eastAsia="Open Sans"/>
            <w:sz w:val="20"/>
            <w:szCs w:val="20"/>
          </w:rPr>
          <w:t xml:space="preserve">34 CFR </w:t>
        </w:r>
      </w:hyperlink>
      <w:hyperlink r:id="rId21">
        <w:r w:rsidRPr="00EE2BFD">
          <w:rPr>
            <w:rStyle w:val="Hyperlink"/>
            <w:rFonts w:eastAsia="Open Sans"/>
            <w:sz w:val="20"/>
            <w:szCs w:val="20"/>
          </w:rPr>
          <w:t>§463.420</w:t>
        </w:r>
      </w:hyperlink>
    </w:p>
  </w:footnote>
  <w:footnote w:id="26">
    <w:p w14:paraId="7B984AB1" w14:textId="51F9F51D" w:rsidR="0063742F" w:rsidRPr="001D658A" w:rsidRDefault="0063742F" w:rsidP="0063742F">
      <w:pPr>
        <w:rPr>
          <w:rFonts w:eastAsia="Open Sans"/>
          <w:sz w:val="20"/>
          <w:szCs w:val="20"/>
        </w:rPr>
      </w:pPr>
      <w:r w:rsidRPr="001D658A">
        <w:rPr>
          <w:sz w:val="20"/>
          <w:szCs w:val="20"/>
          <w:vertAlign w:val="superscript"/>
        </w:rPr>
        <w:footnoteRef/>
      </w:r>
      <w:r w:rsidRPr="001D658A">
        <w:rPr>
          <w:sz w:val="20"/>
          <w:szCs w:val="20"/>
        </w:rPr>
        <w:t xml:space="preserve"> </w:t>
      </w:r>
      <w:r w:rsidRPr="001D658A">
        <w:rPr>
          <w:rFonts w:eastAsia="Open Sans"/>
          <w:sz w:val="20"/>
          <w:szCs w:val="20"/>
        </w:rPr>
        <w:t xml:space="preserve">See </w:t>
      </w:r>
      <w:hyperlink r:id="rId22" w:anchor="se2.1.200_1414" w:history="1">
        <w:r w:rsidRPr="002873FE">
          <w:rPr>
            <w:rStyle w:val="Hyperlink"/>
            <w:rFonts w:eastAsia="Open Sans"/>
            <w:sz w:val="20"/>
            <w:szCs w:val="20"/>
          </w:rPr>
          <w:t xml:space="preserve">2 CFR </w:t>
        </w:r>
        <w:r w:rsidR="00BD2DE1" w:rsidRPr="00BD2DE1">
          <w:rPr>
            <w:rStyle w:val="Hyperlink"/>
            <w:rFonts w:eastAsia="Open Sans"/>
            <w:sz w:val="20"/>
            <w:szCs w:val="20"/>
          </w:rPr>
          <w:t>§</w:t>
        </w:r>
        <w:r w:rsidRPr="002873FE">
          <w:rPr>
            <w:rStyle w:val="Hyperlink"/>
            <w:rFonts w:eastAsia="Open Sans"/>
            <w:sz w:val="20"/>
            <w:szCs w:val="20"/>
          </w:rPr>
          <w:t>200.414</w:t>
        </w:r>
      </w:hyperlink>
    </w:p>
  </w:footnote>
  <w:footnote w:id="27">
    <w:p w14:paraId="1C7674CB" w14:textId="7D3D286E" w:rsidR="0063742F" w:rsidRDefault="0063742F" w:rsidP="0063742F">
      <w:pPr>
        <w:rPr>
          <w:rFonts w:eastAsia="Open Sans"/>
        </w:rPr>
      </w:pPr>
      <w:r w:rsidRPr="001D658A">
        <w:rPr>
          <w:sz w:val="20"/>
          <w:szCs w:val="20"/>
          <w:vertAlign w:val="superscript"/>
        </w:rPr>
        <w:footnoteRef/>
      </w:r>
      <w:r w:rsidRPr="001D658A">
        <w:rPr>
          <w:sz w:val="20"/>
          <w:szCs w:val="20"/>
        </w:rPr>
        <w:t xml:space="preserve"> </w:t>
      </w:r>
      <w:r w:rsidRPr="001D658A">
        <w:rPr>
          <w:rFonts w:eastAsia="Open Sans"/>
          <w:sz w:val="20"/>
          <w:szCs w:val="20"/>
        </w:rPr>
        <w:t xml:space="preserve">See </w:t>
      </w:r>
      <w:hyperlink r:id="rId23" w:history="1">
        <w:r w:rsidRPr="002873FE">
          <w:rPr>
            <w:rStyle w:val="Hyperlink"/>
            <w:rFonts w:eastAsia="Open Sans"/>
            <w:sz w:val="20"/>
            <w:szCs w:val="20"/>
          </w:rPr>
          <w:t xml:space="preserve">34 CFR </w:t>
        </w:r>
        <w:r w:rsidR="00BD2DE1" w:rsidRPr="00BD2DE1">
          <w:rPr>
            <w:rStyle w:val="Hyperlink"/>
            <w:rFonts w:eastAsia="Open Sans"/>
            <w:sz w:val="20"/>
            <w:szCs w:val="20"/>
          </w:rPr>
          <w:t>§</w:t>
        </w:r>
        <w:r w:rsidRPr="002873FE">
          <w:rPr>
            <w:rStyle w:val="Hyperlink"/>
            <w:rFonts w:eastAsia="Open Sans"/>
            <w:sz w:val="20"/>
            <w:szCs w:val="20"/>
          </w:rPr>
          <w:t>76.563</w:t>
        </w:r>
      </w:hyperlink>
    </w:p>
  </w:footnote>
  <w:footnote w:id="28">
    <w:p w14:paraId="727B4C35" w14:textId="5A7FE62F" w:rsidR="006A106B" w:rsidRDefault="006A106B" w:rsidP="006A106B">
      <w:pPr>
        <w:pStyle w:val="FootnoteText"/>
      </w:pPr>
      <w:r>
        <w:rPr>
          <w:rStyle w:val="FootnoteReference"/>
        </w:rPr>
        <w:footnoteRef/>
      </w:r>
      <w:r>
        <w:t xml:space="preserve"> Grant-holding agency’s administration policies define full-time versus part-time employment</w:t>
      </w:r>
      <w:r w:rsidR="00925D29">
        <w:t>.</w:t>
      </w:r>
    </w:p>
  </w:footnote>
  <w:footnote w:id="29">
    <w:p w14:paraId="3C415DDF" w14:textId="7EE7E7AD" w:rsidR="0072217D" w:rsidRDefault="0072217D">
      <w:pPr>
        <w:pStyle w:val="FootnoteText"/>
      </w:pPr>
      <w:r>
        <w:rPr>
          <w:rStyle w:val="FootnoteReference"/>
        </w:rPr>
        <w:footnoteRef/>
      </w:r>
      <w:r>
        <w:t xml:space="preserve"> </w:t>
      </w:r>
      <w:r w:rsidRPr="00F37917">
        <w:t xml:space="preserve">See </w:t>
      </w:r>
      <w:hyperlink r:id="rId24" w:history="1">
        <w:r w:rsidRPr="00F37917">
          <w:rPr>
            <w:rStyle w:val="Hyperlink"/>
          </w:rPr>
          <w:t>https://lincs.ed.gov/publications/pdf/CCRStandardsAdultEd.pdf</w:t>
        </w:r>
      </w:hyperlink>
    </w:p>
  </w:footnote>
  <w:footnote w:id="30">
    <w:p w14:paraId="5F62D5B0" w14:textId="21AFD940" w:rsidR="0072217D" w:rsidRDefault="0072217D">
      <w:pPr>
        <w:pStyle w:val="FootnoteText"/>
      </w:pPr>
      <w:r>
        <w:rPr>
          <w:rStyle w:val="FootnoteReference"/>
        </w:rPr>
        <w:footnoteRef/>
      </w:r>
      <w:r>
        <w:t xml:space="preserve"> </w:t>
      </w:r>
      <w:r w:rsidRPr="00F37917">
        <w:t xml:space="preserve">See </w:t>
      </w:r>
      <w:hyperlink r:id="rId25" w:history="1">
        <w:r w:rsidRPr="00F37917">
          <w:rPr>
            <w:rStyle w:val="Hyperlink"/>
          </w:rPr>
          <w:t>https://lincs.ed.gov/publications/pdf/elp-standards-adult-ed.pdf</w:t>
        </w:r>
      </w:hyperlink>
    </w:p>
  </w:footnote>
  <w:footnote w:id="31">
    <w:p w14:paraId="0E50723D" w14:textId="5EE2E6A5" w:rsidR="0072217D" w:rsidRDefault="0072217D" w:rsidP="004A2530">
      <w:pPr>
        <w:pStyle w:val="FootnoteText"/>
      </w:pPr>
      <w:r>
        <w:rPr>
          <w:rStyle w:val="FootnoteReference"/>
        </w:rPr>
        <w:footnoteRef/>
      </w:r>
      <w:r>
        <w:t xml:space="preserve"> </w:t>
      </w:r>
      <w:r w:rsidRPr="00F37917">
        <w:t xml:space="preserve">The term “essential components of reading instruction” </w:t>
      </w:r>
      <w:r>
        <w:t>is defined in the E</w:t>
      </w:r>
      <w:r w:rsidRPr="00F37917">
        <w:t>lementary and Secondary Education Act of 1965 (20 U.S.C. 6368).</w:t>
      </w:r>
      <w:r>
        <w:t xml:space="preserve"> It means </w:t>
      </w:r>
      <w:r w:rsidRPr="004A2530">
        <w:t>explicit and systematic instruction in</w:t>
      </w:r>
      <w:r>
        <w:t xml:space="preserve"> </w:t>
      </w:r>
      <w:r w:rsidRPr="004A2530">
        <w:t>phonemic awareness</w:t>
      </w:r>
      <w:r>
        <w:t>,</w:t>
      </w:r>
      <w:r w:rsidRPr="004A2530">
        <w:t xml:space="preserve"> phonics</w:t>
      </w:r>
      <w:r>
        <w:t>,</w:t>
      </w:r>
      <w:r w:rsidRPr="004A2530">
        <w:t xml:space="preserve"> vocabulary development</w:t>
      </w:r>
      <w:r>
        <w:t>,</w:t>
      </w:r>
      <w:r w:rsidRPr="004A2530">
        <w:t xml:space="preserve"> reading fluency</w:t>
      </w:r>
      <w:r>
        <w:t>—including</w:t>
      </w:r>
      <w:r w:rsidRPr="004A2530">
        <w:t xml:space="preserve"> oral reading</w:t>
      </w:r>
      <w:r>
        <w:t xml:space="preserve"> skills—and reading comprehension strategies.</w:t>
      </w:r>
    </w:p>
  </w:footnote>
  <w:footnote w:id="32">
    <w:p w14:paraId="00846DF3" w14:textId="77777777" w:rsidR="00176186" w:rsidRDefault="00176186" w:rsidP="00176186">
      <w:pPr>
        <w:pStyle w:val="FootnoteText"/>
      </w:pPr>
      <w:r>
        <w:rPr>
          <w:rStyle w:val="FootnoteReference"/>
        </w:rPr>
        <w:footnoteRef/>
      </w:r>
      <w:r>
        <w:t xml:space="preserve"> See </w:t>
      </w:r>
      <w:hyperlink r:id="rId26" w:history="1">
        <w:r w:rsidRPr="00900DA9">
          <w:rPr>
            <w:rStyle w:val="Hyperlink"/>
          </w:rPr>
          <w:t>20 CFR §679.310</w:t>
        </w:r>
      </w:hyperlink>
    </w:p>
  </w:footnote>
  <w:footnote w:id="33">
    <w:p w14:paraId="737ABE51" w14:textId="77777777" w:rsidR="00176186" w:rsidRPr="004B0F42" w:rsidRDefault="00176186" w:rsidP="00176186">
      <w:pPr>
        <w:pStyle w:val="FootnoteText"/>
      </w:pPr>
      <w:r w:rsidRPr="00900DA9">
        <w:rPr>
          <w:vertAlign w:val="superscript"/>
        </w:rPr>
        <w:footnoteRef/>
      </w:r>
      <w:r w:rsidRPr="00900DA9">
        <w:t xml:space="preserve"> See </w:t>
      </w:r>
      <w:hyperlink r:id="rId27" w:anchor="se34.3.463_121" w:history="1">
        <w:r w:rsidRPr="00900DA9">
          <w:rPr>
            <w:rStyle w:val="Hyperlink"/>
          </w:rPr>
          <w:t xml:space="preserve">34 CFR </w:t>
        </w:r>
        <w:r w:rsidRPr="00900DA9">
          <w:rPr>
            <w:rStyle w:val="Hyperlink"/>
            <w:spacing w:val="5"/>
          </w:rPr>
          <w:t>§463.21</w:t>
        </w:r>
      </w:hyperlink>
    </w:p>
  </w:footnote>
  <w:footnote w:id="34">
    <w:p w14:paraId="4939D1D4" w14:textId="78B51887" w:rsidR="0072217D" w:rsidRPr="00CB6253" w:rsidRDefault="0072217D" w:rsidP="00675BD4">
      <w:pPr>
        <w:pStyle w:val="FootnoteText"/>
      </w:pPr>
      <w:r w:rsidRPr="00220D7B">
        <w:rPr>
          <w:vertAlign w:val="superscript"/>
        </w:rPr>
        <w:footnoteRef/>
      </w:r>
      <w:r w:rsidRPr="00220D7B">
        <w:t xml:space="preserve"> See </w:t>
      </w:r>
      <w:hyperlink r:id="rId28" w:history="1">
        <w:r w:rsidRPr="00220D7B">
          <w:rPr>
            <w:rStyle w:val="Hyperlink"/>
          </w:rPr>
          <w:t xml:space="preserve">34 CFR </w:t>
        </w:r>
        <w:r w:rsidRPr="00220D7B">
          <w:rPr>
            <w:rStyle w:val="Hyperlink"/>
            <w:spacing w:val="5"/>
          </w:rPr>
          <w:t>§463.3</w:t>
        </w:r>
        <w:r w:rsidR="00220D7B" w:rsidRPr="00220D7B">
          <w:rPr>
            <w:rStyle w:val="Hyperlink"/>
            <w:spacing w:val="5"/>
          </w:rPr>
          <w:t>05</w:t>
        </w:r>
      </w:hyperlink>
      <w:r w:rsidR="00F01E1F">
        <w:t xml:space="preserve"> and </w:t>
      </w:r>
      <w:hyperlink r:id="rId29" w:history="1">
        <w:r w:rsidR="00F01E1F" w:rsidRPr="0054319F">
          <w:rPr>
            <w:rStyle w:val="Hyperlink"/>
          </w:rPr>
          <w:t>34 CFR §463.420</w:t>
        </w:r>
      </w:hyperlink>
    </w:p>
  </w:footnote>
  <w:footnote w:id="35">
    <w:p w14:paraId="2018051C" w14:textId="3F0FF69A" w:rsidR="0072217D" w:rsidRPr="00FC2453" w:rsidRDefault="00000000">
      <w:pPr>
        <w:pStyle w:val="FootnoteText"/>
        <w:rPr>
          <w:color w:val="0000FF"/>
          <w:u w:val="single"/>
        </w:rPr>
      </w:pPr>
      <w:hyperlink r:id="rId30" w:anchor="se34.3.463_1415" w:history="1">
        <w:r w:rsidR="0072217D" w:rsidRPr="00A62031">
          <w:rPr>
            <w:rStyle w:val="Hyperlink"/>
            <w:color w:val="auto"/>
            <w:u w:val="none"/>
            <w:vertAlign w:val="superscript"/>
          </w:rPr>
          <w:footnoteRef/>
        </w:r>
        <w:r w:rsidR="0072217D" w:rsidRPr="00A62031">
          <w:rPr>
            <w:rStyle w:val="Hyperlink"/>
            <w:color w:val="auto"/>
            <w:u w:val="none"/>
          </w:rPr>
          <w:t xml:space="preserve"> </w:t>
        </w:r>
        <w:r w:rsidR="00A62031" w:rsidRPr="00220D7B">
          <w:t xml:space="preserve">See </w:t>
        </w:r>
        <w:hyperlink r:id="rId31" w:anchor="p-463.415(b)" w:history="1">
          <w:r w:rsidR="00A62031">
            <w:rPr>
              <w:rStyle w:val="Hyperlink"/>
              <w:spacing w:val="5"/>
            </w:rPr>
            <w:t>34 CFR §463.415(b)</w:t>
          </w:r>
        </w:hyperlink>
      </w:hyperlink>
    </w:p>
  </w:footnote>
  <w:footnote w:id="36">
    <w:p w14:paraId="6F7E8543" w14:textId="331883ED" w:rsidR="0072217D" w:rsidRDefault="0072217D" w:rsidP="001C2325">
      <w:pPr>
        <w:pStyle w:val="FootnoteText"/>
      </w:pPr>
      <w:r w:rsidRPr="00CB6253">
        <w:rPr>
          <w:rStyle w:val="FootnoteReference"/>
        </w:rPr>
        <w:footnoteRef/>
      </w:r>
      <w:r w:rsidRPr="00CB6253">
        <w:t xml:space="preserve"> At minimum, AJC staff must be able to provide a direct linkage to local Adult Education providers for an individual who enters an AJC</w:t>
      </w:r>
      <w:r w:rsidR="00DB3425">
        <w:t xml:space="preserve"> </w:t>
      </w:r>
      <w:r w:rsidRPr="00CB6253">
        <w:t xml:space="preserve">and seeks or requires Adult Education </w:t>
      </w:r>
      <w:r>
        <w:t>s</w:t>
      </w:r>
      <w:r w:rsidRPr="00CB6253">
        <w:t xml:space="preserve">ervices. Ideally, Adult Education providers </w:t>
      </w:r>
      <w:proofErr w:type="gramStart"/>
      <w:r w:rsidRPr="00CB6253">
        <w:t>are able to</w:t>
      </w:r>
      <w:proofErr w:type="gramEnd"/>
      <w:r w:rsidRPr="00CB6253">
        <w:t xml:space="preserve"> regularly have a staff member onsite or occasionally conduct </w:t>
      </w:r>
      <w:r>
        <w:t>intake/</w:t>
      </w:r>
      <w:r w:rsidRPr="00CB6253">
        <w:t>orientation or class in the AJC.</w:t>
      </w:r>
    </w:p>
  </w:footnote>
  <w:footnote w:id="37">
    <w:p w14:paraId="555959B4" w14:textId="181053E1" w:rsidR="0072217D" w:rsidRPr="003A10A3" w:rsidRDefault="0072217D">
      <w:pPr>
        <w:pStyle w:val="FootnoteText"/>
      </w:pPr>
      <w:r w:rsidRPr="003A10A3">
        <w:rPr>
          <w:rStyle w:val="FootnoteReference"/>
        </w:rPr>
        <w:footnoteRef/>
      </w:r>
      <w:r w:rsidRPr="003A10A3">
        <w:t xml:space="preserve"> See </w:t>
      </w:r>
      <w:hyperlink r:id="rId32" w:anchor="p-463.20(d)" w:history="1">
        <w:r w:rsidR="00A15AED">
          <w:rPr>
            <w:rStyle w:val="Hyperlink"/>
          </w:rPr>
          <w:t>34 CFR §463.20(d)</w:t>
        </w:r>
      </w:hyperlink>
    </w:p>
  </w:footnote>
  <w:footnote w:id="38">
    <w:p w14:paraId="39BEE653" w14:textId="1E578379" w:rsidR="0072217D" w:rsidRPr="003A10A3" w:rsidRDefault="0072217D">
      <w:pPr>
        <w:pStyle w:val="FootnoteText"/>
      </w:pPr>
      <w:r w:rsidRPr="003A10A3">
        <w:rPr>
          <w:rStyle w:val="FootnoteReference"/>
        </w:rPr>
        <w:footnoteRef/>
      </w:r>
      <w:r w:rsidRPr="003A10A3">
        <w:t xml:space="preserve"> TDLWD maintains the statewide information management system</w:t>
      </w:r>
      <w:r w:rsidR="00DC03F1">
        <w:t xml:space="preserve"> (c</w:t>
      </w:r>
      <w:r w:rsidR="00D36736">
        <w:t xml:space="preserve">urrently </w:t>
      </w:r>
      <w:r w:rsidRPr="00D36736">
        <w:rPr>
          <w:i/>
          <w:iCs/>
        </w:rPr>
        <w:t>Jobs4TN</w:t>
      </w:r>
      <w:r w:rsidR="00DC03F1">
        <w:t>)</w:t>
      </w:r>
      <w:r w:rsidRPr="003A10A3">
        <w:t>.</w:t>
      </w:r>
    </w:p>
  </w:footnote>
  <w:footnote w:id="39">
    <w:p w14:paraId="496BCFDA" w14:textId="74DD3548" w:rsidR="0072217D" w:rsidRDefault="0072217D" w:rsidP="003139DD">
      <w:pPr>
        <w:pStyle w:val="FootnoteText"/>
      </w:pPr>
      <w:r w:rsidRPr="003A10A3">
        <w:rPr>
          <w:rStyle w:val="FootnoteReference"/>
        </w:rPr>
        <w:footnoteRef/>
      </w:r>
      <w:r w:rsidRPr="003A10A3">
        <w:t xml:space="preserve"> </w:t>
      </w:r>
      <w:bookmarkStart w:id="45" w:name="_Hlk56781964"/>
      <w:r w:rsidRPr="003A10A3">
        <w:t xml:space="preserve">See </w:t>
      </w:r>
      <w:hyperlink r:id="rId33" w:history="1">
        <w:r w:rsidRPr="003A10A3">
          <w:rPr>
            <w:rStyle w:val="Hyperlink"/>
          </w:rPr>
          <w:t>34 CFR §463.22</w:t>
        </w:r>
      </w:hyperlink>
      <w:bookmarkEnd w:id="45"/>
    </w:p>
  </w:footnote>
  <w:footnote w:id="40">
    <w:p w14:paraId="644F6743" w14:textId="7E702F07" w:rsidR="0072217D" w:rsidRDefault="0072217D">
      <w:pPr>
        <w:pStyle w:val="FootnoteText"/>
      </w:pPr>
      <w:r w:rsidRPr="00906F34">
        <w:rPr>
          <w:rStyle w:val="FootnoteReference"/>
        </w:rPr>
        <w:footnoteRef/>
      </w:r>
      <w:r w:rsidRPr="00906F34">
        <w:t xml:space="preserve"> T</w:t>
      </w:r>
      <w:r w:rsidR="003F5881">
        <w:t xml:space="preserve">DLWD </w:t>
      </w:r>
      <w:r w:rsidRPr="00906F34">
        <w:t>requires grantees to utilize the TDLWD information management system</w:t>
      </w:r>
      <w:r w:rsidR="003F5881">
        <w:t xml:space="preserve"> (currently </w:t>
      </w:r>
      <w:r w:rsidR="003F5881">
        <w:rPr>
          <w:i/>
          <w:iCs/>
        </w:rPr>
        <w:t>Jobs4TN</w:t>
      </w:r>
      <w:r w:rsidR="003F5881">
        <w:t>)</w:t>
      </w:r>
      <w:r>
        <w:t xml:space="preserve"> for collecting and reporting data.</w:t>
      </w:r>
    </w:p>
  </w:footnote>
  <w:footnote w:id="41">
    <w:p w14:paraId="11ADD02C" w14:textId="77777777" w:rsidR="00A53C36" w:rsidRDefault="00A53C36" w:rsidP="00A53C36">
      <w:pPr>
        <w:pStyle w:val="FootnoteText"/>
      </w:pPr>
      <w:r>
        <w:rPr>
          <w:rStyle w:val="FootnoteReference"/>
        </w:rPr>
        <w:footnoteRef/>
      </w:r>
      <w:r>
        <w:t xml:space="preserve"> TDLWD will provide guidance and funding to the grantees who are required to participate in and provide funds toward the one-stop system.</w:t>
      </w:r>
    </w:p>
  </w:footnote>
  <w:footnote w:id="42">
    <w:p w14:paraId="350B56C3" w14:textId="44FE5954" w:rsidR="0072217D" w:rsidRPr="003A10A3" w:rsidRDefault="0072217D">
      <w:pPr>
        <w:pStyle w:val="FootnoteText"/>
      </w:pPr>
      <w:r w:rsidRPr="003A10A3">
        <w:rPr>
          <w:rStyle w:val="FootnoteReference"/>
        </w:rPr>
        <w:footnoteRef/>
      </w:r>
      <w:r w:rsidRPr="003A10A3">
        <w:t xml:space="preserve"> </w:t>
      </w:r>
      <w:r>
        <w:t>All</w:t>
      </w:r>
      <w:r w:rsidRPr="003A10A3">
        <w:t xml:space="preserve"> local providers are represented on the State board by the TDLWD Assistant Commissioner of Adult Education.</w:t>
      </w:r>
    </w:p>
  </w:footnote>
  <w:footnote w:id="43">
    <w:p w14:paraId="0D407227" w14:textId="25E0EFF5" w:rsidR="0072217D" w:rsidRDefault="0072217D">
      <w:pPr>
        <w:pStyle w:val="FootnoteText"/>
      </w:pPr>
      <w:r w:rsidRPr="003A10A3">
        <w:rPr>
          <w:rStyle w:val="FootnoteReference"/>
        </w:rPr>
        <w:footnoteRef/>
      </w:r>
      <w:r w:rsidRPr="003A10A3">
        <w:t xml:space="preserve"> Applicants are </w:t>
      </w:r>
      <w:r w:rsidRPr="00A746D3">
        <w:rPr>
          <w:i/>
          <w:iCs/>
        </w:rPr>
        <w:t>not</w:t>
      </w:r>
      <w:r w:rsidRPr="003A10A3">
        <w:t xml:space="preserve"> required to provide documentation; this requirement is fulfilled by </w:t>
      </w:r>
      <w:r w:rsidR="00821B9D">
        <w:t xml:space="preserve">TDLWD </w:t>
      </w:r>
      <w:r w:rsidRPr="003A10A3">
        <w:t>sending applications to the LWDBs and considering the results of their review.</w:t>
      </w:r>
    </w:p>
  </w:footnote>
  <w:footnote w:id="44">
    <w:p w14:paraId="4AA50C7A" w14:textId="75E8ACB2" w:rsidR="0072217D" w:rsidRPr="004B0F42" w:rsidRDefault="0072217D" w:rsidP="00967A4B">
      <w:pPr>
        <w:pStyle w:val="FootnoteText"/>
      </w:pPr>
      <w:r>
        <w:rPr>
          <w:rStyle w:val="FootnoteReference"/>
        </w:rPr>
        <w:footnoteRef/>
      </w:r>
      <w:r>
        <w:t xml:space="preserve"> </w:t>
      </w:r>
      <w:r w:rsidRPr="004B0F42">
        <w:t>See U.S. Department of Education guidance:</w:t>
      </w:r>
      <w:r>
        <w:t xml:space="preserve"> </w:t>
      </w:r>
      <w:hyperlink r:id="rId34" w:history="1">
        <w:r w:rsidRPr="00F977F9">
          <w:rPr>
            <w:rStyle w:val="Hyperlink"/>
          </w:rPr>
          <w:t>https://www2.ed.gov/fund/grant/apply/appforms/gepa427.doc</w:t>
        </w:r>
      </w:hyperlink>
    </w:p>
    <w:p w14:paraId="43C7EE39" w14:textId="38DC7BD7" w:rsidR="0072217D" w:rsidRDefault="0072217D">
      <w:pPr>
        <w:pStyle w:val="FootnoteText"/>
      </w:pPr>
    </w:p>
  </w:footnote>
  <w:footnote w:id="45">
    <w:p w14:paraId="65CCCCEB" w14:textId="7BBA1C48" w:rsidR="0072217D" w:rsidRPr="003E7394" w:rsidRDefault="0072217D" w:rsidP="00623D37">
      <w:pPr>
        <w:pStyle w:val="FootnoteText"/>
      </w:pPr>
      <w:r w:rsidRPr="003E7394">
        <w:rPr>
          <w:rStyle w:val="FootnoteReference"/>
        </w:rPr>
        <w:footnoteRef/>
      </w:r>
      <w:r w:rsidRPr="003E7394">
        <w:t xml:space="preserve"> </w:t>
      </w:r>
      <w:r w:rsidRPr="003E7394">
        <w:rPr>
          <w:color w:val="000000"/>
        </w:rPr>
        <w:t>A Data Universal Numbering System (DUNS) number is required on the cover page for all applicants. This is a nine-digit number established and assigned by Dun &amp; Bradstreet, Inc. School districts and postsecondary institutions</w:t>
      </w:r>
      <w:r w:rsidR="00D4044E">
        <w:rPr>
          <w:color w:val="000000"/>
        </w:rPr>
        <w:t xml:space="preserve"> should already have </w:t>
      </w:r>
      <w:r w:rsidRPr="003E7394">
        <w:rPr>
          <w:color w:val="000000"/>
        </w:rPr>
        <w:t xml:space="preserve">a DUNS number, as well as other agencies that receive funding directly from the </w:t>
      </w:r>
      <w:r w:rsidR="001D1ADD">
        <w:rPr>
          <w:color w:val="000000"/>
        </w:rPr>
        <w:t>F</w:t>
      </w:r>
      <w:r w:rsidRPr="003E7394">
        <w:rPr>
          <w:color w:val="000000"/>
        </w:rPr>
        <w:t xml:space="preserve">ederal government. </w:t>
      </w:r>
      <w:r w:rsidR="000211D5">
        <w:rPr>
          <w:color w:val="000000"/>
        </w:rPr>
        <w:t>To obtain a</w:t>
      </w:r>
      <w:r w:rsidRPr="003E7394">
        <w:rPr>
          <w:color w:val="000000"/>
        </w:rPr>
        <w:t xml:space="preserve"> DUNS number</w:t>
      </w:r>
      <w:r w:rsidR="000211D5">
        <w:rPr>
          <w:color w:val="000000"/>
        </w:rPr>
        <w:t>,</w:t>
      </w:r>
      <w:r w:rsidRPr="003E7394">
        <w:rPr>
          <w:color w:val="000000"/>
        </w:rPr>
        <w:t xml:space="preserve"> </w:t>
      </w:r>
      <w:r w:rsidR="000211D5">
        <w:rPr>
          <w:color w:val="000000"/>
        </w:rPr>
        <w:t>s</w:t>
      </w:r>
      <w:r w:rsidRPr="003E7394">
        <w:rPr>
          <w:color w:val="000000"/>
        </w:rPr>
        <w:t xml:space="preserve">ee </w:t>
      </w:r>
      <w:hyperlink r:id="rId35" w:history="1">
        <w:r w:rsidR="00E67D63" w:rsidRPr="00FF1667">
          <w:rPr>
            <w:rStyle w:val="Hyperlink"/>
          </w:rPr>
          <w:t>https://www.irs.gov/pub/irs-utl/duns_num_guide.pdf</w:t>
        </w:r>
      </w:hyperlink>
      <w:r w:rsidR="002E0575">
        <w:t>.</w:t>
      </w:r>
    </w:p>
  </w:footnote>
  <w:footnote w:id="46">
    <w:p w14:paraId="425BC617" w14:textId="31CC9F49" w:rsidR="00CE64B0" w:rsidRPr="00BB0DD0" w:rsidRDefault="00CE64B0" w:rsidP="00CE64B0">
      <w:pPr>
        <w:pStyle w:val="FootnoteText"/>
      </w:pPr>
      <w:r w:rsidRPr="001B424B">
        <w:rPr>
          <w:vertAlign w:val="superscript"/>
        </w:rPr>
        <w:footnoteRef/>
      </w:r>
      <w:r w:rsidRPr="001B424B">
        <w:t xml:space="preserve"> </w:t>
      </w:r>
      <w:r w:rsidR="001B424B">
        <w:t xml:space="preserve">See </w:t>
      </w:r>
      <w:hyperlink r:id="rId36" w:history="1">
        <w:r w:rsidR="00212C46" w:rsidRPr="00AB60E6">
          <w:rPr>
            <w:rStyle w:val="Hyperlink"/>
          </w:rPr>
          <w:t>34 CFR §463.24</w:t>
        </w:r>
      </w:hyperlink>
    </w:p>
  </w:footnote>
  <w:footnote w:id="47">
    <w:p w14:paraId="70A7BD49" w14:textId="15399718" w:rsidR="00970F9B" w:rsidRDefault="00970F9B">
      <w:pPr>
        <w:pStyle w:val="FootnoteText"/>
      </w:pPr>
      <w:r>
        <w:rPr>
          <w:rStyle w:val="FootnoteReference"/>
        </w:rPr>
        <w:footnoteRef/>
      </w:r>
      <w:r>
        <w:t xml:space="preserve"> Copy-paste </w:t>
      </w:r>
      <w:r w:rsidR="00611A16">
        <w:t xml:space="preserve">this </w:t>
      </w:r>
      <w:r w:rsidR="00DE059C">
        <w:t>form</w:t>
      </w:r>
      <w:r w:rsidR="00611A16">
        <w:t xml:space="preserve"> into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7BB8" w14:textId="0FF4315A" w:rsidR="0000776F" w:rsidRPr="005D0A3C" w:rsidRDefault="005D0A3C" w:rsidP="00992302">
    <w:r>
      <w:rPr>
        <w:bCs/>
        <w:caps/>
        <w:szCs w:val="28"/>
      </w:rPr>
      <w:t>Section</w:t>
    </w:r>
    <w:r w:rsidR="00993FB4">
      <w:rPr>
        <w:bCs/>
        <w:caps/>
        <w:szCs w:val="28"/>
      </w:rPr>
      <w:t xml:space="preserve"> </w:t>
    </w:r>
    <w:r w:rsidR="00992302">
      <w:rPr>
        <w:bCs/>
        <w:caps/>
        <w:szCs w:val="28"/>
      </w:rPr>
      <w:t>7</w:t>
    </w:r>
    <w:r>
      <w:rPr>
        <w:bCs/>
        <w:caps/>
        <w:szCs w:val="28"/>
      </w:rPr>
      <w:t xml:space="preserve">: </w:t>
    </w:r>
    <w:r w:rsidR="00992302">
      <w:rPr>
        <w:bCs/>
        <w:caps/>
        <w:szCs w:val="28"/>
      </w:rPr>
      <w:t>corrections education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CAB0" w14:textId="4A33468E" w:rsidR="00E76D7F" w:rsidRPr="005D0A3C" w:rsidRDefault="00E76D7F" w:rsidP="00992302">
    <w:r>
      <w:rPr>
        <w:bCs/>
        <w:caps/>
        <w:szCs w:val="28"/>
      </w:rPr>
      <w:t>Section 6: wokrforce development system &amp; initiatives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3647" w14:textId="02E095EA" w:rsidR="00E76D7F" w:rsidRPr="005D0A3C" w:rsidRDefault="00E76D7F" w:rsidP="00992302">
    <w:r>
      <w:rPr>
        <w:bCs/>
        <w:caps/>
        <w:szCs w:val="28"/>
      </w:rPr>
      <w:t>Section 7: corrections education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9C2C" w14:textId="77777777" w:rsidR="0072217D" w:rsidRDefault="0072217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0D28" w14:textId="7B376447" w:rsidR="0072217D" w:rsidRPr="00083B2E" w:rsidRDefault="004C15CB" w:rsidP="00280B8C">
    <w:pPr>
      <w:rPr>
        <w:bCs/>
        <w:caps/>
        <w:szCs w:val="28"/>
      </w:rPr>
    </w:pPr>
    <w:r>
      <w:rPr>
        <w:bCs/>
        <w:caps/>
        <w:szCs w:val="28"/>
      </w:rPr>
      <w:t xml:space="preserve">section 8: </w:t>
    </w:r>
    <w:r w:rsidR="0072217D">
      <w:rPr>
        <w:bCs/>
        <w:caps/>
        <w:szCs w:val="28"/>
      </w:rPr>
      <w:t>Grant application Guide</w:t>
    </w:r>
  </w:p>
  <w:p w14:paraId="09648F20" w14:textId="77777777" w:rsidR="0072217D" w:rsidRDefault="0072217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9771" w14:textId="77777777" w:rsidR="0072217D" w:rsidRDefault="0072217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A1E7" w14:textId="24F44F16" w:rsidR="0072217D" w:rsidRPr="00083B2E" w:rsidRDefault="0072217D" w:rsidP="00280B8C">
    <w:pPr>
      <w:rPr>
        <w:bCs/>
        <w:caps/>
        <w:szCs w:val="28"/>
      </w:rPr>
    </w:pPr>
    <w:r>
      <w:rPr>
        <w:bCs/>
        <w:caps/>
        <w:szCs w:val="28"/>
      </w:rPr>
      <w:t>Appendix</w:t>
    </w:r>
    <w:r w:rsidR="0052761F">
      <w:rPr>
        <w:bCs/>
        <w:caps/>
        <w:szCs w:val="28"/>
      </w:rPr>
      <w:t xml:space="preserve"> A</w:t>
    </w:r>
    <w:r>
      <w:rPr>
        <w:bCs/>
        <w:caps/>
        <w:szCs w:val="28"/>
      </w:rPr>
      <w:t>:</w:t>
    </w:r>
    <w:r w:rsidRPr="00083B2E">
      <w:rPr>
        <w:bCs/>
        <w:caps/>
        <w:szCs w:val="28"/>
      </w:rPr>
      <w:t xml:space="preserve"> </w:t>
    </w:r>
    <w:r w:rsidR="00CE64B0">
      <w:rPr>
        <w:bCs/>
        <w:caps/>
        <w:szCs w:val="28"/>
      </w:rPr>
      <w:t>Demonstrated Effectiveness</w:t>
    </w:r>
  </w:p>
  <w:p w14:paraId="11BA0F96" w14:textId="77777777" w:rsidR="0072217D" w:rsidRDefault="0072217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1039" w14:textId="44C12CFE" w:rsidR="00B81FBD" w:rsidRPr="00083B2E" w:rsidRDefault="00B81FBD" w:rsidP="00280B8C">
    <w:pPr>
      <w:rPr>
        <w:bCs/>
        <w:caps/>
        <w:szCs w:val="28"/>
      </w:rPr>
    </w:pPr>
    <w:r>
      <w:rPr>
        <w:bCs/>
        <w:caps/>
        <w:szCs w:val="28"/>
      </w:rPr>
      <w:t>Appendix B:</w:t>
    </w:r>
    <w:r w:rsidRPr="00083B2E">
      <w:rPr>
        <w:bCs/>
        <w:caps/>
        <w:szCs w:val="28"/>
      </w:rPr>
      <w:t xml:space="preserve"> </w:t>
    </w:r>
    <w:r w:rsidR="00B554CA">
      <w:rPr>
        <w:bCs/>
        <w:caps/>
        <w:szCs w:val="28"/>
      </w:rPr>
      <w:t>Cover Page</w:t>
    </w:r>
  </w:p>
  <w:p w14:paraId="1ECA47BB" w14:textId="77777777" w:rsidR="00B81FBD" w:rsidRDefault="00B81FB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6D5B" w14:textId="2CAAB685" w:rsidR="008E2DCA" w:rsidRPr="00AC07C7" w:rsidRDefault="008E2DCA" w:rsidP="00DE5333">
    <w:r>
      <w:rPr>
        <w:bCs/>
        <w:caps/>
        <w:szCs w:val="28"/>
      </w:rPr>
      <w:t xml:space="preserve">Appendix </w:t>
    </w:r>
    <w:r w:rsidR="001968EC">
      <w:rPr>
        <w:bCs/>
        <w:caps/>
        <w:szCs w:val="28"/>
      </w:rPr>
      <w:t>C</w:t>
    </w:r>
    <w:r>
      <w:rPr>
        <w:bCs/>
        <w:caps/>
        <w:szCs w:val="28"/>
      </w:rPr>
      <w:t>:</w:t>
    </w:r>
    <w:r w:rsidRPr="00083B2E">
      <w:rPr>
        <w:bCs/>
        <w:caps/>
        <w:szCs w:val="28"/>
      </w:rPr>
      <w:t xml:space="preserve"> </w:t>
    </w:r>
    <w:r w:rsidR="001968EC">
      <w:rPr>
        <w:bCs/>
        <w:caps/>
        <w:szCs w:val="28"/>
      </w:rPr>
      <w:t>Budget Guidance</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B6E8" w14:textId="633A8A7E" w:rsidR="001968EC" w:rsidRPr="00AC07C7" w:rsidRDefault="001968EC" w:rsidP="00DE5333">
    <w:r>
      <w:rPr>
        <w:bCs/>
        <w:caps/>
        <w:szCs w:val="28"/>
      </w:rPr>
      <w:t>Appendix D:</w:t>
    </w:r>
    <w:r w:rsidRPr="00083B2E">
      <w:rPr>
        <w:bCs/>
        <w:caps/>
        <w:szCs w:val="28"/>
      </w:rPr>
      <w:t xml:space="preserve"> </w:t>
    </w:r>
    <w:r w:rsidR="008F7677">
      <w:rPr>
        <w:bCs/>
        <w:caps/>
        <w:szCs w:val="28"/>
      </w:rPr>
      <w:t>Scoring Rubric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D195" w14:textId="28297E33" w:rsidR="0072217D" w:rsidRPr="00A224CF" w:rsidRDefault="0072217D" w:rsidP="00A224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72F0" w14:textId="154BB5CE" w:rsidR="00A436B5" w:rsidRPr="005D0A3C" w:rsidRDefault="00A436B5" w:rsidP="00992302">
    <w:r>
      <w:rPr>
        <w:bCs/>
        <w:caps/>
        <w:szCs w:val="28"/>
      </w:rPr>
      <w:t xml:space="preserve">Section </w:t>
    </w:r>
    <w:r w:rsidR="006B44E9">
      <w:rPr>
        <w:bCs/>
        <w:caps/>
        <w:szCs w:val="28"/>
      </w:rPr>
      <w:t>1</w:t>
    </w:r>
    <w:r>
      <w:rPr>
        <w:bCs/>
        <w:caps/>
        <w:szCs w:val="28"/>
      </w:rPr>
      <w:t xml:space="preserve">: </w:t>
    </w:r>
    <w:r w:rsidR="006B44E9">
      <w:rPr>
        <w:bCs/>
        <w:caps/>
        <w:szCs w:val="28"/>
      </w:rPr>
      <w:t>grant overview</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EBBE" w14:textId="70FB0EE2" w:rsidR="006B44E9" w:rsidRPr="005D0A3C" w:rsidRDefault="006B44E9" w:rsidP="00992302">
    <w:r>
      <w:rPr>
        <w:bCs/>
        <w:caps/>
        <w:szCs w:val="28"/>
      </w:rPr>
      <w:t xml:space="preserve">Section 2: </w:t>
    </w:r>
    <w:r w:rsidR="0094774C">
      <w:rPr>
        <w:bCs/>
        <w:caps/>
        <w:szCs w:val="28"/>
      </w:rPr>
      <w:t>IELCE</w:t>
    </w:r>
    <w:r>
      <w:rPr>
        <w:bCs/>
        <w:caps/>
        <w:szCs w:val="28"/>
      </w:rPr>
      <w:t xml:space="preserve"> program overview</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84DC" w14:textId="622C602A" w:rsidR="003E08BA" w:rsidRPr="006158C8" w:rsidRDefault="003E08BA" w:rsidP="003E08BA">
    <w:r>
      <w:rPr>
        <w:bCs/>
        <w:caps/>
        <w:szCs w:val="28"/>
      </w:rPr>
      <w:t>Section 2: AE program overview</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D06F" w14:textId="42D975C4" w:rsidR="006B44E9" w:rsidRPr="005D0A3C" w:rsidRDefault="006B44E9" w:rsidP="00992302">
    <w:r>
      <w:rPr>
        <w:bCs/>
        <w:caps/>
        <w:szCs w:val="28"/>
      </w:rPr>
      <w:t>Section 3: performance requirements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60F1" w14:textId="1B099EB9" w:rsidR="003E08BA" w:rsidRPr="006158C8" w:rsidRDefault="003E08BA" w:rsidP="003E08BA">
    <w:r>
      <w:rPr>
        <w:bCs/>
        <w:caps/>
        <w:szCs w:val="28"/>
      </w:rPr>
      <w:t>Section 4: administration requirements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F289" w14:textId="77777777" w:rsidR="009B7529" w:rsidRPr="005D0A3C" w:rsidRDefault="009B7529" w:rsidP="00992302">
    <w:r>
      <w:rPr>
        <w:bCs/>
        <w:caps/>
        <w:szCs w:val="28"/>
      </w:rPr>
      <w:t>Section 4: administration requirements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522E" w14:textId="3433D5F3" w:rsidR="00E76D7F" w:rsidRPr="005D0A3C" w:rsidRDefault="00E76D7F" w:rsidP="00992302">
    <w:r>
      <w:rPr>
        <w:bCs/>
        <w:caps/>
        <w:szCs w:val="28"/>
      </w:rPr>
      <w:t>Section 5: core program development</w:t>
    </w:r>
  </w:p>
</w:hdr>
</file>

<file path=word/intelligence2.xml><?xml version="1.0" encoding="utf-8"?>
<int2:intelligence xmlns:int2="http://schemas.microsoft.com/office/intelligence/2020/intelligence" xmlns:oel="http://schemas.microsoft.com/office/2019/extlst">
  <int2:observations>
    <int2:bookmark int2:bookmarkName="_Int_6VLhhfRl" int2:invalidationBookmarkName="" int2:hashCode="Ek+oFLy3LiveXp" int2:id="vuvJQE93">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4F4B"/>
    <w:multiLevelType w:val="hybridMultilevel"/>
    <w:tmpl w:val="BAACF818"/>
    <w:lvl w:ilvl="0" w:tplc="02E8F0C8">
      <w:start w:val="215"/>
      <w:numFmt w:val="bullet"/>
      <w:lvlText w:val=""/>
      <w:lvlJc w:val="left"/>
      <w:pPr>
        <w:ind w:left="720" w:hanging="360"/>
      </w:pPr>
      <w:rPr>
        <w:rFonts w:ascii="Symbol" w:eastAsia="Times New Roman"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23C95"/>
    <w:multiLevelType w:val="hybridMultilevel"/>
    <w:tmpl w:val="B04A8394"/>
    <w:lvl w:ilvl="0" w:tplc="F2040584">
      <w:start w:val="1"/>
      <w:numFmt w:val="decimal"/>
      <w:pStyle w:val="Style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40633F"/>
    <w:multiLevelType w:val="hybridMultilevel"/>
    <w:tmpl w:val="5DECC232"/>
    <w:lvl w:ilvl="0" w:tplc="6DF60BBA">
      <w:numFmt w:val="bullet"/>
      <w:lvlText w:val="•"/>
      <w:lvlJc w:val="left"/>
      <w:pPr>
        <w:ind w:left="1076" w:hanging="370"/>
      </w:pPr>
      <w:rPr>
        <w:rFonts w:hint="default"/>
        <w:w w:val="110"/>
        <w:lang w:val="en-US" w:eastAsia="en-US" w:bidi="en-US"/>
      </w:rPr>
    </w:lvl>
    <w:lvl w:ilvl="1" w:tplc="48D81CB8">
      <w:numFmt w:val="bullet"/>
      <w:lvlText w:val="•"/>
      <w:lvlJc w:val="left"/>
      <w:pPr>
        <w:ind w:left="1966" w:hanging="370"/>
      </w:pPr>
      <w:rPr>
        <w:rFonts w:hint="default"/>
        <w:lang w:val="en-US" w:eastAsia="en-US" w:bidi="en-US"/>
      </w:rPr>
    </w:lvl>
    <w:lvl w:ilvl="2" w:tplc="085E7F2A">
      <w:numFmt w:val="bullet"/>
      <w:lvlText w:val="•"/>
      <w:lvlJc w:val="left"/>
      <w:pPr>
        <w:ind w:left="2852" w:hanging="370"/>
      </w:pPr>
      <w:rPr>
        <w:rFonts w:hint="default"/>
        <w:lang w:val="en-US" w:eastAsia="en-US" w:bidi="en-US"/>
      </w:rPr>
    </w:lvl>
    <w:lvl w:ilvl="3" w:tplc="E5D0DB42">
      <w:numFmt w:val="bullet"/>
      <w:lvlText w:val="•"/>
      <w:lvlJc w:val="left"/>
      <w:pPr>
        <w:ind w:left="3738" w:hanging="370"/>
      </w:pPr>
      <w:rPr>
        <w:rFonts w:hint="default"/>
        <w:lang w:val="en-US" w:eastAsia="en-US" w:bidi="en-US"/>
      </w:rPr>
    </w:lvl>
    <w:lvl w:ilvl="4" w:tplc="FCC4B39E">
      <w:numFmt w:val="bullet"/>
      <w:lvlText w:val="•"/>
      <w:lvlJc w:val="left"/>
      <w:pPr>
        <w:ind w:left="4624" w:hanging="370"/>
      </w:pPr>
      <w:rPr>
        <w:rFonts w:hint="default"/>
        <w:lang w:val="en-US" w:eastAsia="en-US" w:bidi="en-US"/>
      </w:rPr>
    </w:lvl>
    <w:lvl w:ilvl="5" w:tplc="5A7E225E">
      <w:numFmt w:val="bullet"/>
      <w:lvlText w:val="•"/>
      <w:lvlJc w:val="left"/>
      <w:pPr>
        <w:ind w:left="5510" w:hanging="370"/>
      </w:pPr>
      <w:rPr>
        <w:rFonts w:hint="default"/>
        <w:lang w:val="en-US" w:eastAsia="en-US" w:bidi="en-US"/>
      </w:rPr>
    </w:lvl>
    <w:lvl w:ilvl="6" w:tplc="CB04E002">
      <w:numFmt w:val="bullet"/>
      <w:lvlText w:val="•"/>
      <w:lvlJc w:val="left"/>
      <w:pPr>
        <w:ind w:left="6396" w:hanging="370"/>
      </w:pPr>
      <w:rPr>
        <w:rFonts w:hint="default"/>
        <w:lang w:val="en-US" w:eastAsia="en-US" w:bidi="en-US"/>
      </w:rPr>
    </w:lvl>
    <w:lvl w:ilvl="7" w:tplc="2F461664">
      <w:numFmt w:val="bullet"/>
      <w:lvlText w:val="•"/>
      <w:lvlJc w:val="left"/>
      <w:pPr>
        <w:ind w:left="7282" w:hanging="370"/>
      </w:pPr>
      <w:rPr>
        <w:rFonts w:hint="default"/>
        <w:lang w:val="en-US" w:eastAsia="en-US" w:bidi="en-US"/>
      </w:rPr>
    </w:lvl>
    <w:lvl w:ilvl="8" w:tplc="5324F87A">
      <w:numFmt w:val="bullet"/>
      <w:lvlText w:val="•"/>
      <w:lvlJc w:val="left"/>
      <w:pPr>
        <w:ind w:left="8168" w:hanging="370"/>
      </w:pPr>
      <w:rPr>
        <w:rFonts w:hint="default"/>
        <w:lang w:val="en-US" w:eastAsia="en-US" w:bidi="en-US"/>
      </w:rPr>
    </w:lvl>
  </w:abstractNum>
  <w:abstractNum w:abstractNumId="3" w15:restartNumberingAfterBreak="0">
    <w:nsid w:val="08E4404C"/>
    <w:multiLevelType w:val="hybridMultilevel"/>
    <w:tmpl w:val="17BCCF94"/>
    <w:lvl w:ilvl="0" w:tplc="C17EA1A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79C65FD"/>
    <w:multiLevelType w:val="hybridMultilevel"/>
    <w:tmpl w:val="60D898C8"/>
    <w:lvl w:ilvl="0" w:tplc="10CE1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90F0A"/>
    <w:multiLevelType w:val="hybridMultilevel"/>
    <w:tmpl w:val="84D2D700"/>
    <w:lvl w:ilvl="0" w:tplc="915A9760">
      <w:start w:val="1"/>
      <w:numFmt w:val="bullet"/>
      <w:pStyle w:val="BulletedLis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260"/>
        </w:tabs>
        <w:ind w:left="126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3E66DE"/>
    <w:multiLevelType w:val="multilevel"/>
    <w:tmpl w:val="519681E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505657B"/>
    <w:multiLevelType w:val="hybridMultilevel"/>
    <w:tmpl w:val="0A6A00B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5C00066"/>
    <w:multiLevelType w:val="hybridMultilevel"/>
    <w:tmpl w:val="CC18558E"/>
    <w:lvl w:ilvl="0" w:tplc="78167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B3E33"/>
    <w:multiLevelType w:val="hybridMultilevel"/>
    <w:tmpl w:val="F3CC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3078F"/>
    <w:multiLevelType w:val="hybridMultilevel"/>
    <w:tmpl w:val="2FC039BE"/>
    <w:lvl w:ilvl="0" w:tplc="9F8E9220">
      <w:start w:val="1"/>
      <w:numFmt w:val="lowerLetter"/>
      <w:lvlText w:val="(%1)"/>
      <w:lvlJc w:val="left"/>
      <w:pPr>
        <w:ind w:left="720" w:hanging="360"/>
      </w:pPr>
      <w:rPr>
        <w:rFonts w:ascii="Open Sans" w:hAnsi="Open Sans" w:cs="Open San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71BD7"/>
    <w:multiLevelType w:val="hybridMultilevel"/>
    <w:tmpl w:val="672222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935534B"/>
    <w:multiLevelType w:val="hybridMultilevel"/>
    <w:tmpl w:val="BE6607D4"/>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74FF1"/>
    <w:multiLevelType w:val="hybridMultilevel"/>
    <w:tmpl w:val="1354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F0986"/>
    <w:multiLevelType w:val="hybridMultilevel"/>
    <w:tmpl w:val="D12C1896"/>
    <w:lvl w:ilvl="0" w:tplc="B91CF0DC">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70606"/>
    <w:multiLevelType w:val="multilevel"/>
    <w:tmpl w:val="6ED8E0A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F926B6"/>
    <w:multiLevelType w:val="hybridMultilevel"/>
    <w:tmpl w:val="E188B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E32F33"/>
    <w:multiLevelType w:val="multilevel"/>
    <w:tmpl w:val="F26814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F523F2E"/>
    <w:multiLevelType w:val="hybridMultilevel"/>
    <w:tmpl w:val="B6149FF4"/>
    <w:lvl w:ilvl="0" w:tplc="5E7896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907DA8"/>
    <w:multiLevelType w:val="hybridMultilevel"/>
    <w:tmpl w:val="BE762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311C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4691A3A"/>
    <w:multiLevelType w:val="multilevel"/>
    <w:tmpl w:val="B4DCD944"/>
    <w:lvl w:ilvl="0">
      <w:start w:val="1"/>
      <w:numFmt w:val="decimal"/>
      <w:lvlText w:val="%1."/>
      <w:lvlJc w:val="left"/>
      <w:pPr>
        <w:tabs>
          <w:tab w:val="num" w:pos="720"/>
        </w:tabs>
        <w:ind w:left="720" w:hanging="360"/>
      </w:pPr>
      <w:rPr>
        <w:rFonts w:hint="default"/>
        <w:sz w:val="22"/>
      </w:rPr>
    </w:lvl>
    <w:lvl w:ilvl="1">
      <w:start w:val="1"/>
      <w:numFmt w:val="decimal"/>
      <w:lvlText w:val="%2."/>
      <w:lvlJc w:val="left"/>
      <w:pPr>
        <w:ind w:left="0" w:firstLine="0"/>
      </w:pPr>
      <w:rPr>
        <w:rFonts w:hint="default"/>
        <w:b w:val="0"/>
        <w:strike w:val="0"/>
        <w:sz w:val="22"/>
      </w:rPr>
    </w:lvl>
    <w:lvl w:ilvl="2">
      <w:start w:val="1"/>
      <w:numFmt w:val="decimal"/>
      <w:lvlText w:val="%3."/>
      <w:lvlJc w:val="left"/>
      <w:pPr>
        <w:tabs>
          <w:tab w:val="num" w:pos="2160"/>
        </w:tabs>
        <w:ind w:left="2160" w:hanging="360"/>
      </w:pPr>
      <w:rPr>
        <w:rFonts w:ascii="Open Sans" w:eastAsia="Times New Roman" w:hAnsi="Open Sans" w:cs="Open Sans"/>
        <w:i w:val="0"/>
        <w:sz w:val="22"/>
      </w:rPr>
    </w:lvl>
    <w:lvl w:ilvl="3">
      <w:start w:val="1"/>
      <w:numFmt w:val="bullet"/>
      <w:lvlText w:val=""/>
      <w:lvlJc w:val="left"/>
      <w:pPr>
        <w:tabs>
          <w:tab w:val="num" w:pos="2880"/>
        </w:tabs>
        <w:ind w:left="2880" w:hanging="360"/>
      </w:pPr>
      <w:rPr>
        <w:rFonts w:ascii="Symbol" w:hAnsi="Symbol" w:hint="default"/>
        <w:i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58A75713"/>
    <w:multiLevelType w:val="hybridMultilevel"/>
    <w:tmpl w:val="EF262CF4"/>
    <w:lvl w:ilvl="0" w:tplc="5F3E32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68792F"/>
    <w:multiLevelType w:val="hybridMultilevel"/>
    <w:tmpl w:val="0A6A00B4"/>
    <w:lvl w:ilvl="0" w:tplc="72DE28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607878"/>
    <w:multiLevelType w:val="hybridMultilevel"/>
    <w:tmpl w:val="573046EA"/>
    <w:lvl w:ilvl="0" w:tplc="C10A57B0">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193E83"/>
    <w:multiLevelType w:val="hybridMultilevel"/>
    <w:tmpl w:val="C5307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D713A4"/>
    <w:multiLevelType w:val="multilevel"/>
    <w:tmpl w:val="75CEC98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A07600C"/>
    <w:multiLevelType w:val="hybridMultilevel"/>
    <w:tmpl w:val="066C9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A465AF"/>
    <w:multiLevelType w:val="hybridMultilevel"/>
    <w:tmpl w:val="0B5AEE30"/>
    <w:lvl w:ilvl="0" w:tplc="CF3832BA">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DB1A34"/>
    <w:multiLevelType w:val="hybridMultilevel"/>
    <w:tmpl w:val="2D649FA4"/>
    <w:lvl w:ilvl="0" w:tplc="F12002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D11D63"/>
    <w:multiLevelType w:val="hybridMultilevel"/>
    <w:tmpl w:val="1EEEE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7B3E24"/>
    <w:multiLevelType w:val="hybridMultilevel"/>
    <w:tmpl w:val="C6564AF6"/>
    <w:lvl w:ilvl="0" w:tplc="11262824">
      <w:start w:val="1"/>
      <w:numFmt w:val="lowerLetter"/>
      <w:lvlText w:val="(%1)"/>
      <w:lvlJc w:val="left"/>
      <w:pPr>
        <w:ind w:left="720" w:hanging="360"/>
      </w:pPr>
      <w:rPr>
        <w:rFonts w:ascii="Open Sans" w:hAnsi="Open Sans" w:cs="Open San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1153595">
    <w:abstractNumId w:val="1"/>
  </w:num>
  <w:num w:numId="2" w16cid:durableId="507909115">
    <w:abstractNumId w:val="5"/>
  </w:num>
  <w:num w:numId="3" w16cid:durableId="1825856004">
    <w:abstractNumId w:val="21"/>
  </w:num>
  <w:num w:numId="4" w16cid:durableId="575287773">
    <w:abstractNumId w:val="25"/>
  </w:num>
  <w:num w:numId="5" w16cid:durableId="780758159">
    <w:abstractNumId w:val="30"/>
  </w:num>
  <w:num w:numId="6" w16cid:durableId="802311238">
    <w:abstractNumId w:val="16"/>
  </w:num>
  <w:num w:numId="7" w16cid:durableId="1876310865">
    <w:abstractNumId w:val="26"/>
  </w:num>
  <w:num w:numId="8" w16cid:durableId="1284845932">
    <w:abstractNumId w:val="6"/>
  </w:num>
  <w:num w:numId="9" w16cid:durableId="900025046">
    <w:abstractNumId w:val="17"/>
  </w:num>
  <w:num w:numId="10" w16cid:durableId="1899704431">
    <w:abstractNumId w:val="24"/>
  </w:num>
  <w:num w:numId="11" w16cid:durableId="1584215712">
    <w:abstractNumId w:val="22"/>
  </w:num>
  <w:num w:numId="12" w16cid:durableId="1406218643">
    <w:abstractNumId w:val="8"/>
  </w:num>
  <w:num w:numId="13" w16cid:durableId="117794869">
    <w:abstractNumId w:val="18"/>
  </w:num>
  <w:num w:numId="14" w16cid:durableId="2107991195">
    <w:abstractNumId w:val="27"/>
  </w:num>
  <w:num w:numId="15" w16cid:durableId="1284077084">
    <w:abstractNumId w:val="2"/>
  </w:num>
  <w:num w:numId="16" w16cid:durableId="329987254">
    <w:abstractNumId w:val="13"/>
  </w:num>
  <w:num w:numId="17" w16cid:durableId="1548368552">
    <w:abstractNumId w:val="23"/>
  </w:num>
  <w:num w:numId="18" w16cid:durableId="1851942225">
    <w:abstractNumId w:val="28"/>
  </w:num>
  <w:num w:numId="19" w16cid:durableId="833447253">
    <w:abstractNumId w:val="31"/>
  </w:num>
  <w:num w:numId="20" w16cid:durableId="1133714909">
    <w:abstractNumId w:val="29"/>
  </w:num>
  <w:num w:numId="21" w16cid:durableId="1386180008">
    <w:abstractNumId w:val="10"/>
  </w:num>
  <w:num w:numId="22" w16cid:durableId="754132489">
    <w:abstractNumId w:val="7"/>
  </w:num>
  <w:num w:numId="23" w16cid:durableId="1419136467">
    <w:abstractNumId w:val="19"/>
  </w:num>
  <w:num w:numId="24" w16cid:durableId="1099639792">
    <w:abstractNumId w:val="20"/>
  </w:num>
  <w:num w:numId="25" w16cid:durableId="665596719">
    <w:abstractNumId w:val="3"/>
  </w:num>
  <w:num w:numId="26" w16cid:durableId="129637281">
    <w:abstractNumId w:val="9"/>
  </w:num>
  <w:num w:numId="27" w16cid:durableId="166747844">
    <w:abstractNumId w:val="11"/>
  </w:num>
  <w:num w:numId="28" w16cid:durableId="548610855">
    <w:abstractNumId w:val="14"/>
  </w:num>
  <w:num w:numId="29" w16cid:durableId="1901482752">
    <w:abstractNumId w:val="0"/>
  </w:num>
  <w:num w:numId="30" w16cid:durableId="1300839010">
    <w:abstractNumId w:val="4"/>
  </w:num>
  <w:num w:numId="31" w16cid:durableId="1992060564">
    <w:abstractNumId w:val="15"/>
    <w:lvlOverride w:ilvl="0">
      <w:startOverride w:val="1"/>
    </w:lvlOverride>
  </w:num>
  <w:num w:numId="32" w16cid:durableId="1992060564">
    <w:abstractNumId w:val="15"/>
    <w:lvlOverride w:ilvl="0"/>
    <w:lvlOverride w:ilvl="1">
      <w:startOverride w:val="1"/>
    </w:lvlOverride>
  </w:num>
  <w:num w:numId="33" w16cid:durableId="1959217025">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C7"/>
    <w:rsid w:val="00000059"/>
    <w:rsid w:val="000002FB"/>
    <w:rsid w:val="0000079A"/>
    <w:rsid w:val="000009E7"/>
    <w:rsid w:val="00000FC8"/>
    <w:rsid w:val="000010A5"/>
    <w:rsid w:val="00001DB4"/>
    <w:rsid w:val="000021DA"/>
    <w:rsid w:val="00002235"/>
    <w:rsid w:val="00002689"/>
    <w:rsid w:val="000026FC"/>
    <w:rsid w:val="00002B85"/>
    <w:rsid w:val="0000337F"/>
    <w:rsid w:val="000034BA"/>
    <w:rsid w:val="00003577"/>
    <w:rsid w:val="000035D4"/>
    <w:rsid w:val="00003B63"/>
    <w:rsid w:val="0000426B"/>
    <w:rsid w:val="000043AF"/>
    <w:rsid w:val="00004A1E"/>
    <w:rsid w:val="00004C86"/>
    <w:rsid w:val="00004CFA"/>
    <w:rsid w:val="00004F11"/>
    <w:rsid w:val="000059B4"/>
    <w:rsid w:val="00005D82"/>
    <w:rsid w:val="0000677F"/>
    <w:rsid w:val="000073A3"/>
    <w:rsid w:val="0000776F"/>
    <w:rsid w:val="00007AB4"/>
    <w:rsid w:val="00007AB8"/>
    <w:rsid w:val="00007D25"/>
    <w:rsid w:val="00007E66"/>
    <w:rsid w:val="000102CE"/>
    <w:rsid w:val="00010932"/>
    <w:rsid w:val="000109F2"/>
    <w:rsid w:val="0001150D"/>
    <w:rsid w:val="000115E4"/>
    <w:rsid w:val="0001169C"/>
    <w:rsid w:val="00011767"/>
    <w:rsid w:val="00011CB4"/>
    <w:rsid w:val="000124AF"/>
    <w:rsid w:val="0001260C"/>
    <w:rsid w:val="00012652"/>
    <w:rsid w:val="000130A4"/>
    <w:rsid w:val="000139B2"/>
    <w:rsid w:val="000139B7"/>
    <w:rsid w:val="00013F54"/>
    <w:rsid w:val="0001412B"/>
    <w:rsid w:val="000142FD"/>
    <w:rsid w:val="00014932"/>
    <w:rsid w:val="0001499E"/>
    <w:rsid w:val="00014FFD"/>
    <w:rsid w:val="00015099"/>
    <w:rsid w:val="0001527C"/>
    <w:rsid w:val="00015993"/>
    <w:rsid w:val="00016001"/>
    <w:rsid w:val="00016845"/>
    <w:rsid w:val="00016905"/>
    <w:rsid w:val="00017434"/>
    <w:rsid w:val="0001746F"/>
    <w:rsid w:val="00017A3B"/>
    <w:rsid w:val="00017DFD"/>
    <w:rsid w:val="0002048A"/>
    <w:rsid w:val="00020C14"/>
    <w:rsid w:val="000211D5"/>
    <w:rsid w:val="000217E5"/>
    <w:rsid w:val="000226DE"/>
    <w:rsid w:val="00022920"/>
    <w:rsid w:val="00022AA3"/>
    <w:rsid w:val="00022E67"/>
    <w:rsid w:val="0002378E"/>
    <w:rsid w:val="00023A43"/>
    <w:rsid w:val="000248EC"/>
    <w:rsid w:val="00024C5B"/>
    <w:rsid w:val="0002589E"/>
    <w:rsid w:val="000258E7"/>
    <w:rsid w:val="00025B26"/>
    <w:rsid w:val="00025E89"/>
    <w:rsid w:val="000275BC"/>
    <w:rsid w:val="00027923"/>
    <w:rsid w:val="000279BE"/>
    <w:rsid w:val="00027AB7"/>
    <w:rsid w:val="00027CDD"/>
    <w:rsid w:val="0003005A"/>
    <w:rsid w:val="0003019D"/>
    <w:rsid w:val="00030582"/>
    <w:rsid w:val="000305D6"/>
    <w:rsid w:val="000306B4"/>
    <w:rsid w:val="00030A60"/>
    <w:rsid w:val="00030D10"/>
    <w:rsid w:val="00030D7A"/>
    <w:rsid w:val="000312A7"/>
    <w:rsid w:val="0003145E"/>
    <w:rsid w:val="00031514"/>
    <w:rsid w:val="0003164D"/>
    <w:rsid w:val="00031666"/>
    <w:rsid w:val="00031789"/>
    <w:rsid w:val="000318B4"/>
    <w:rsid w:val="000318F1"/>
    <w:rsid w:val="00031B75"/>
    <w:rsid w:val="00031D65"/>
    <w:rsid w:val="00031FF1"/>
    <w:rsid w:val="0003208A"/>
    <w:rsid w:val="00032668"/>
    <w:rsid w:val="00032746"/>
    <w:rsid w:val="00032B5D"/>
    <w:rsid w:val="00032CBD"/>
    <w:rsid w:val="000333C6"/>
    <w:rsid w:val="00033821"/>
    <w:rsid w:val="00033BCA"/>
    <w:rsid w:val="00034824"/>
    <w:rsid w:val="00034E37"/>
    <w:rsid w:val="000351E7"/>
    <w:rsid w:val="000353D7"/>
    <w:rsid w:val="00035C0A"/>
    <w:rsid w:val="00036553"/>
    <w:rsid w:val="0003674D"/>
    <w:rsid w:val="000367B5"/>
    <w:rsid w:val="00036E17"/>
    <w:rsid w:val="000372C4"/>
    <w:rsid w:val="000374C1"/>
    <w:rsid w:val="000379E9"/>
    <w:rsid w:val="00037AA6"/>
    <w:rsid w:val="00040596"/>
    <w:rsid w:val="000410FF"/>
    <w:rsid w:val="00041155"/>
    <w:rsid w:val="000413D5"/>
    <w:rsid w:val="00041DFA"/>
    <w:rsid w:val="00041E95"/>
    <w:rsid w:val="0004276C"/>
    <w:rsid w:val="0004292C"/>
    <w:rsid w:val="00042DD7"/>
    <w:rsid w:val="00042E00"/>
    <w:rsid w:val="00043807"/>
    <w:rsid w:val="00043A67"/>
    <w:rsid w:val="00043AE2"/>
    <w:rsid w:val="00043B82"/>
    <w:rsid w:val="00044117"/>
    <w:rsid w:val="00044A28"/>
    <w:rsid w:val="00045139"/>
    <w:rsid w:val="00045466"/>
    <w:rsid w:val="00045620"/>
    <w:rsid w:val="000460E1"/>
    <w:rsid w:val="00046106"/>
    <w:rsid w:val="00046704"/>
    <w:rsid w:val="00046E8F"/>
    <w:rsid w:val="00047010"/>
    <w:rsid w:val="00047133"/>
    <w:rsid w:val="000471D5"/>
    <w:rsid w:val="00047CE7"/>
    <w:rsid w:val="00047E69"/>
    <w:rsid w:val="00047F20"/>
    <w:rsid w:val="00050EB6"/>
    <w:rsid w:val="00051078"/>
    <w:rsid w:val="0005121F"/>
    <w:rsid w:val="00051355"/>
    <w:rsid w:val="00051DB7"/>
    <w:rsid w:val="000523A0"/>
    <w:rsid w:val="000528B2"/>
    <w:rsid w:val="000528CE"/>
    <w:rsid w:val="00052AF8"/>
    <w:rsid w:val="00052D41"/>
    <w:rsid w:val="0005345C"/>
    <w:rsid w:val="00053BF2"/>
    <w:rsid w:val="000548F6"/>
    <w:rsid w:val="00054C6A"/>
    <w:rsid w:val="00054E70"/>
    <w:rsid w:val="000553C5"/>
    <w:rsid w:val="00055A49"/>
    <w:rsid w:val="00055CE6"/>
    <w:rsid w:val="00055D2C"/>
    <w:rsid w:val="00055E0E"/>
    <w:rsid w:val="00055F84"/>
    <w:rsid w:val="00056048"/>
    <w:rsid w:val="000566BC"/>
    <w:rsid w:val="000567F0"/>
    <w:rsid w:val="00056CBB"/>
    <w:rsid w:val="00057D5B"/>
    <w:rsid w:val="0006170E"/>
    <w:rsid w:val="00062018"/>
    <w:rsid w:val="0006262D"/>
    <w:rsid w:val="00062634"/>
    <w:rsid w:val="00062C5A"/>
    <w:rsid w:val="000636F1"/>
    <w:rsid w:val="00063E59"/>
    <w:rsid w:val="00063FD9"/>
    <w:rsid w:val="00064403"/>
    <w:rsid w:val="00064922"/>
    <w:rsid w:val="000649BD"/>
    <w:rsid w:val="000651DA"/>
    <w:rsid w:val="000658E4"/>
    <w:rsid w:val="000658F9"/>
    <w:rsid w:val="00065E54"/>
    <w:rsid w:val="00065EB9"/>
    <w:rsid w:val="00065F01"/>
    <w:rsid w:val="000660F2"/>
    <w:rsid w:val="00066662"/>
    <w:rsid w:val="000667F1"/>
    <w:rsid w:val="0006699C"/>
    <w:rsid w:val="0006719F"/>
    <w:rsid w:val="000671CF"/>
    <w:rsid w:val="00067730"/>
    <w:rsid w:val="00070380"/>
    <w:rsid w:val="00071EF2"/>
    <w:rsid w:val="000721E6"/>
    <w:rsid w:val="00072293"/>
    <w:rsid w:val="00072AF4"/>
    <w:rsid w:val="00072BC7"/>
    <w:rsid w:val="00072DC9"/>
    <w:rsid w:val="000731E8"/>
    <w:rsid w:val="000731EF"/>
    <w:rsid w:val="000739DF"/>
    <w:rsid w:val="00073A6C"/>
    <w:rsid w:val="00073A94"/>
    <w:rsid w:val="00073DA0"/>
    <w:rsid w:val="00073F66"/>
    <w:rsid w:val="00074564"/>
    <w:rsid w:val="00074667"/>
    <w:rsid w:val="00074849"/>
    <w:rsid w:val="000748FA"/>
    <w:rsid w:val="00074CA5"/>
    <w:rsid w:val="00075AEF"/>
    <w:rsid w:val="00076044"/>
    <w:rsid w:val="000763CF"/>
    <w:rsid w:val="00076645"/>
    <w:rsid w:val="00076AC6"/>
    <w:rsid w:val="00077787"/>
    <w:rsid w:val="00080C68"/>
    <w:rsid w:val="00081391"/>
    <w:rsid w:val="00081B3D"/>
    <w:rsid w:val="00082827"/>
    <w:rsid w:val="0008295A"/>
    <w:rsid w:val="00082DEB"/>
    <w:rsid w:val="00083042"/>
    <w:rsid w:val="00083504"/>
    <w:rsid w:val="000839E8"/>
    <w:rsid w:val="00083B2E"/>
    <w:rsid w:val="00083B42"/>
    <w:rsid w:val="00083D47"/>
    <w:rsid w:val="00084195"/>
    <w:rsid w:val="0008427B"/>
    <w:rsid w:val="0008437D"/>
    <w:rsid w:val="000845DD"/>
    <w:rsid w:val="000846C3"/>
    <w:rsid w:val="000846DE"/>
    <w:rsid w:val="00084D8B"/>
    <w:rsid w:val="00084E36"/>
    <w:rsid w:val="00084F49"/>
    <w:rsid w:val="000853DF"/>
    <w:rsid w:val="0008573D"/>
    <w:rsid w:val="00086122"/>
    <w:rsid w:val="00086258"/>
    <w:rsid w:val="00086403"/>
    <w:rsid w:val="000864AE"/>
    <w:rsid w:val="00086F38"/>
    <w:rsid w:val="00086F50"/>
    <w:rsid w:val="000877F2"/>
    <w:rsid w:val="00087B55"/>
    <w:rsid w:val="00087FC9"/>
    <w:rsid w:val="0009064D"/>
    <w:rsid w:val="00090673"/>
    <w:rsid w:val="000907D5"/>
    <w:rsid w:val="0009149F"/>
    <w:rsid w:val="00091874"/>
    <w:rsid w:val="00091B44"/>
    <w:rsid w:val="00092804"/>
    <w:rsid w:val="000928BE"/>
    <w:rsid w:val="00092AA5"/>
    <w:rsid w:val="000930BA"/>
    <w:rsid w:val="00093394"/>
    <w:rsid w:val="000934C6"/>
    <w:rsid w:val="000935D5"/>
    <w:rsid w:val="000936BD"/>
    <w:rsid w:val="00093E36"/>
    <w:rsid w:val="00094409"/>
    <w:rsid w:val="000947D5"/>
    <w:rsid w:val="00095699"/>
    <w:rsid w:val="0009575E"/>
    <w:rsid w:val="00095C3E"/>
    <w:rsid w:val="00095E6D"/>
    <w:rsid w:val="00095EB8"/>
    <w:rsid w:val="00095FD7"/>
    <w:rsid w:val="0009667B"/>
    <w:rsid w:val="00096AC5"/>
    <w:rsid w:val="0009770E"/>
    <w:rsid w:val="00097C95"/>
    <w:rsid w:val="000A065D"/>
    <w:rsid w:val="000A0B68"/>
    <w:rsid w:val="000A0D63"/>
    <w:rsid w:val="000A10E9"/>
    <w:rsid w:val="000A1152"/>
    <w:rsid w:val="000A11F2"/>
    <w:rsid w:val="000A1E03"/>
    <w:rsid w:val="000A2019"/>
    <w:rsid w:val="000A20E8"/>
    <w:rsid w:val="000A246B"/>
    <w:rsid w:val="000A29B1"/>
    <w:rsid w:val="000A2E4A"/>
    <w:rsid w:val="000A3014"/>
    <w:rsid w:val="000A32EB"/>
    <w:rsid w:val="000A33D0"/>
    <w:rsid w:val="000A4520"/>
    <w:rsid w:val="000A45D3"/>
    <w:rsid w:val="000A50B6"/>
    <w:rsid w:val="000A5595"/>
    <w:rsid w:val="000A601F"/>
    <w:rsid w:val="000A65C0"/>
    <w:rsid w:val="000A6E6A"/>
    <w:rsid w:val="000A703C"/>
    <w:rsid w:val="000A73F6"/>
    <w:rsid w:val="000A77F3"/>
    <w:rsid w:val="000A7A32"/>
    <w:rsid w:val="000A7F14"/>
    <w:rsid w:val="000B002A"/>
    <w:rsid w:val="000B0474"/>
    <w:rsid w:val="000B07F3"/>
    <w:rsid w:val="000B09A4"/>
    <w:rsid w:val="000B0BB1"/>
    <w:rsid w:val="000B0E68"/>
    <w:rsid w:val="000B0EE7"/>
    <w:rsid w:val="000B0FA7"/>
    <w:rsid w:val="000B21D8"/>
    <w:rsid w:val="000B334D"/>
    <w:rsid w:val="000B376C"/>
    <w:rsid w:val="000B3CAA"/>
    <w:rsid w:val="000B43FB"/>
    <w:rsid w:val="000B4589"/>
    <w:rsid w:val="000B47DE"/>
    <w:rsid w:val="000B49EE"/>
    <w:rsid w:val="000B50A3"/>
    <w:rsid w:val="000B551F"/>
    <w:rsid w:val="000B57DF"/>
    <w:rsid w:val="000B5CFB"/>
    <w:rsid w:val="000B5FFD"/>
    <w:rsid w:val="000B60F2"/>
    <w:rsid w:val="000B62C3"/>
    <w:rsid w:val="000B6AE5"/>
    <w:rsid w:val="000B6C89"/>
    <w:rsid w:val="000B7013"/>
    <w:rsid w:val="000B733A"/>
    <w:rsid w:val="000B7944"/>
    <w:rsid w:val="000C05FF"/>
    <w:rsid w:val="000C0BC2"/>
    <w:rsid w:val="000C0C54"/>
    <w:rsid w:val="000C1897"/>
    <w:rsid w:val="000C1E2E"/>
    <w:rsid w:val="000C2195"/>
    <w:rsid w:val="000C24B8"/>
    <w:rsid w:val="000C29A9"/>
    <w:rsid w:val="000C339F"/>
    <w:rsid w:val="000C3A2D"/>
    <w:rsid w:val="000C3FB4"/>
    <w:rsid w:val="000C408B"/>
    <w:rsid w:val="000C41BD"/>
    <w:rsid w:val="000C4E10"/>
    <w:rsid w:val="000C526B"/>
    <w:rsid w:val="000C5342"/>
    <w:rsid w:val="000C6337"/>
    <w:rsid w:val="000C63D4"/>
    <w:rsid w:val="000C6B39"/>
    <w:rsid w:val="000C6BB9"/>
    <w:rsid w:val="000C7049"/>
    <w:rsid w:val="000C7513"/>
    <w:rsid w:val="000C75ED"/>
    <w:rsid w:val="000C78CB"/>
    <w:rsid w:val="000D1209"/>
    <w:rsid w:val="000D1516"/>
    <w:rsid w:val="000D15A6"/>
    <w:rsid w:val="000D193F"/>
    <w:rsid w:val="000D1993"/>
    <w:rsid w:val="000D230C"/>
    <w:rsid w:val="000D297E"/>
    <w:rsid w:val="000D2B6C"/>
    <w:rsid w:val="000D30A7"/>
    <w:rsid w:val="000D35DA"/>
    <w:rsid w:val="000D488E"/>
    <w:rsid w:val="000D583F"/>
    <w:rsid w:val="000D5AFB"/>
    <w:rsid w:val="000D5D22"/>
    <w:rsid w:val="000D62E9"/>
    <w:rsid w:val="000D64E9"/>
    <w:rsid w:val="000D65B9"/>
    <w:rsid w:val="000D686A"/>
    <w:rsid w:val="000D6889"/>
    <w:rsid w:val="000D68F1"/>
    <w:rsid w:val="000D6B9F"/>
    <w:rsid w:val="000D6EB0"/>
    <w:rsid w:val="000E0198"/>
    <w:rsid w:val="000E0820"/>
    <w:rsid w:val="000E08EF"/>
    <w:rsid w:val="000E0B05"/>
    <w:rsid w:val="000E1513"/>
    <w:rsid w:val="000E1886"/>
    <w:rsid w:val="000E1CF6"/>
    <w:rsid w:val="000E2282"/>
    <w:rsid w:val="000E2DEA"/>
    <w:rsid w:val="000E2E3C"/>
    <w:rsid w:val="000E3220"/>
    <w:rsid w:val="000E331D"/>
    <w:rsid w:val="000E34F2"/>
    <w:rsid w:val="000E3516"/>
    <w:rsid w:val="000E37EF"/>
    <w:rsid w:val="000E3922"/>
    <w:rsid w:val="000E39E4"/>
    <w:rsid w:val="000E3BF9"/>
    <w:rsid w:val="000E3CAA"/>
    <w:rsid w:val="000E3E55"/>
    <w:rsid w:val="000E406B"/>
    <w:rsid w:val="000E4400"/>
    <w:rsid w:val="000E468F"/>
    <w:rsid w:val="000E497D"/>
    <w:rsid w:val="000E49B8"/>
    <w:rsid w:val="000E4D97"/>
    <w:rsid w:val="000E586E"/>
    <w:rsid w:val="000E5CD7"/>
    <w:rsid w:val="000E6683"/>
    <w:rsid w:val="000E720C"/>
    <w:rsid w:val="000E7397"/>
    <w:rsid w:val="000E76FA"/>
    <w:rsid w:val="000E7910"/>
    <w:rsid w:val="000E7B3F"/>
    <w:rsid w:val="000E7CEC"/>
    <w:rsid w:val="000E7FC8"/>
    <w:rsid w:val="000F02DE"/>
    <w:rsid w:val="000F0AF2"/>
    <w:rsid w:val="000F0D2C"/>
    <w:rsid w:val="000F0FEA"/>
    <w:rsid w:val="000F16F7"/>
    <w:rsid w:val="000F1BDF"/>
    <w:rsid w:val="000F24CE"/>
    <w:rsid w:val="000F2F6A"/>
    <w:rsid w:val="000F2FF0"/>
    <w:rsid w:val="000F3D77"/>
    <w:rsid w:val="000F4852"/>
    <w:rsid w:val="000F4FC9"/>
    <w:rsid w:val="000F5410"/>
    <w:rsid w:val="000F5607"/>
    <w:rsid w:val="000F5809"/>
    <w:rsid w:val="000F5D04"/>
    <w:rsid w:val="000F62DF"/>
    <w:rsid w:val="000F64DC"/>
    <w:rsid w:val="000F65F0"/>
    <w:rsid w:val="000F6693"/>
    <w:rsid w:val="000F68EB"/>
    <w:rsid w:val="000F6C17"/>
    <w:rsid w:val="000F6F8A"/>
    <w:rsid w:val="000F70F0"/>
    <w:rsid w:val="000F7169"/>
    <w:rsid w:val="000F71B7"/>
    <w:rsid w:val="000F781B"/>
    <w:rsid w:val="000F7A81"/>
    <w:rsid w:val="000F7C3D"/>
    <w:rsid w:val="00100126"/>
    <w:rsid w:val="001001C4"/>
    <w:rsid w:val="001004AE"/>
    <w:rsid w:val="001004B9"/>
    <w:rsid w:val="00100D55"/>
    <w:rsid w:val="00101041"/>
    <w:rsid w:val="00101368"/>
    <w:rsid w:val="00101762"/>
    <w:rsid w:val="00101E5B"/>
    <w:rsid w:val="00101F68"/>
    <w:rsid w:val="00101FD8"/>
    <w:rsid w:val="00102A08"/>
    <w:rsid w:val="00102AFF"/>
    <w:rsid w:val="001034B8"/>
    <w:rsid w:val="001034C5"/>
    <w:rsid w:val="00103993"/>
    <w:rsid w:val="00103D36"/>
    <w:rsid w:val="00103EAB"/>
    <w:rsid w:val="00104284"/>
    <w:rsid w:val="001043C6"/>
    <w:rsid w:val="001043EF"/>
    <w:rsid w:val="00104492"/>
    <w:rsid w:val="001046EF"/>
    <w:rsid w:val="00105AB8"/>
    <w:rsid w:val="00105B71"/>
    <w:rsid w:val="00105CD0"/>
    <w:rsid w:val="00105DF1"/>
    <w:rsid w:val="00106A5B"/>
    <w:rsid w:val="001076FC"/>
    <w:rsid w:val="0011000A"/>
    <w:rsid w:val="0011095B"/>
    <w:rsid w:val="00110A44"/>
    <w:rsid w:val="001113D7"/>
    <w:rsid w:val="001115EE"/>
    <w:rsid w:val="001117D3"/>
    <w:rsid w:val="0011225F"/>
    <w:rsid w:val="0011279D"/>
    <w:rsid w:val="0011286E"/>
    <w:rsid w:val="00112F87"/>
    <w:rsid w:val="00112FF9"/>
    <w:rsid w:val="00113413"/>
    <w:rsid w:val="00113A00"/>
    <w:rsid w:val="00113A74"/>
    <w:rsid w:val="00113C38"/>
    <w:rsid w:val="00114393"/>
    <w:rsid w:val="001146C4"/>
    <w:rsid w:val="00114DD4"/>
    <w:rsid w:val="0011543A"/>
    <w:rsid w:val="00115B11"/>
    <w:rsid w:val="00115D66"/>
    <w:rsid w:val="0011603A"/>
    <w:rsid w:val="00116564"/>
    <w:rsid w:val="00116713"/>
    <w:rsid w:val="001170E9"/>
    <w:rsid w:val="001176C6"/>
    <w:rsid w:val="00117826"/>
    <w:rsid w:val="00117903"/>
    <w:rsid w:val="00117AE2"/>
    <w:rsid w:val="00117AEB"/>
    <w:rsid w:val="00120400"/>
    <w:rsid w:val="00120EE6"/>
    <w:rsid w:val="00120F07"/>
    <w:rsid w:val="001210F4"/>
    <w:rsid w:val="0012134C"/>
    <w:rsid w:val="00121380"/>
    <w:rsid w:val="0012147D"/>
    <w:rsid w:val="0012166A"/>
    <w:rsid w:val="00121686"/>
    <w:rsid w:val="001221A4"/>
    <w:rsid w:val="0012252C"/>
    <w:rsid w:val="00122C23"/>
    <w:rsid w:val="00122C3C"/>
    <w:rsid w:val="00122CFF"/>
    <w:rsid w:val="00122DC0"/>
    <w:rsid w:val="0012303A"/>
    <w:rsid w:val="00123581"/>
    <w:rsid w:val="0012377A"/>
    <w:rsid w:val="001238F4"/>
    <w:rsid w:val="00123F86"/>
    <w:rsid w:val="00123FEB"/>
    <w:rsid w:val="00124071"/>
    <w:rsid w:val="0012422D"/>
    <w:rsid w:val="001248F1"/>
    <w:rsid w:val="00124BE2"/>
    <w:rsid w:val="00125525"/>
    <w:rsid w:val="00126223"/>
    <w:rsid w:val="001271AC"/>
    <w:rsid w:val="001273A9"/>
    <w:rsid w:val="00127776"/>
    <w:rsid w:val="00127A3A"/>
    <w:rsid w:val="00127B8E"/>
    <w:rsid w:val="00127D11"/>
    <w:rsid w:val="001310E7"/>
    <w:rsid w:val="00131426"/>
    <w:rsid w:val="0013168F"/>
    <w:rsid w:val="00131E1D"/>
    <w:rsid w:val="001322B4"/>
    <w:rsid w:val="0013267C"/>
    <w:rsid w:val="00134263"/>
    <w:rsid w:val="00134508"/>
    <w:rsid w:val="00134C38"/>
    <w:rsid w:val="00135E31"/>
    <w:rsid w:val="00136567"/>
    <w:rsid w:val="0013656A"/>
    <w:rsid w:val="001367C6"/>
    <w:rsid w:val="001368D6"/>
    <w:rsid w:val="00136DFD"/>
    <w:rsid w:val="001376B5"/>
    <w:rsid w:val="00140061"/>
    <w:rsid w:val="001400A1"/>
    <w:rsid w:val="0014025D"/>
    <w:rsid w:val="00140A51"/>
    <w:rsid w:val="00140D35"/>
    <w:rsid w:val="00140DB4"/>
    <w:rsid w:val="001413F7"/>
    <w:rsid w:val="00141A75"/>
    <w:rsid w:val="0014200C"/>
    <w:rsid w:val="00142C74"/>
    <w:rsid w:val="0014318D"/>
    <w:rsid w:val="00143B32"/>
    <w:rsid w:val="0014459B"/>
    <w:rsid w:val="001453D9"/>
    <w:rsid w:val="0014559A"/>
    <w:rsid w:val="001461E3"/>
    <w:rsid w:val="001463A4"/>
    <w:rsid w:val="001464DC"/>
    <w:rsid w:val="001468BA"/>
    <w:rsid w:val="00146C30"/>
    <w:rsid w:val="00146CBF"/>
    <w:rsid w:val="00146FDA"/>
    <w:rsid w:val="0014734B"/>
    <w:rsid w:val="00147838"/>
    <w:rsid w:val="00147D50"/>
    <w:rsid w:val="00147D65"/>
    <w:rsid w:val="00147DEA"/>
    <w:rsid w:val="001503BE"/>
    <w:rsid w:val="001505C4"/>
    <w:rsid w:val="00150ECB"/>
    <w:rsid w:val="0015110E"/>
    <w:rsid w:val="001517C3"/>
    <w:rsid w:val="0015189C"/>
    <w:rsid w:val="00151C75"/>
    <w:rsid w:val="00151D78"/>
    <w:rsid w:val="001528B1"/>
    <w:rsid w:val="00152982"/>
    <w:rsid w:val="00153311"/>
    <w:rsid w:val="001534BD"/>
    <w:rsid w:val="00154EF8"/>
    <w:rsid w:val="00154F2C"/>
    <w:rsid w:val="001552EC"/>
    <w:rsid w:val="00155516"/>
    <w:rsid w:val="00155932"/>
    <w:rsid w:val="00155E14"/>
    <w:rsid w:val="0015665B"/>
    <w:rsid w:val="001566B5"/>
    <w:rsid w:val="0015684E"/>
    <w:rsid w:val="00156A0E"/>
    <w:rsid w:val="00156E95"/>
    <w:rsid w:val="00157084"/>
    <w:rsid w:val="001579CD"/>
    <w:rsid w:val="001579D2"/>
    <w:rsid w:val="001601E1"/>
    <w:rsid w:val="00160313"/>
    <w:rsid w:val="001604D1"/>
    <w:rsid w:val="0016082A"/>
    <w:rsid w:val="0016093A"/>
    <w:rsid w:val="00161A52"/>
    <w:rsid w:val="00161E30"/>
    <w:rsid w:val="00161F36"/>
    <w:rsid w:val="001625D8"/>
    <w:rsid w:val="00162E71"/>
    <w:rsid w:val="00163074"/>
    <w:rsid w:val="0016359C"/>
    <w:rsid w:val="00164D74"/>
    <w:rsid w:val="00164DC7"/>
    <w:rsid w:val="00165031"/>
    <w:rsid w:val="001650AF"/>
    <w:rsid w:val="001651A4"/>
    <w:rsid w:val="00165365"/>
    <w:rsid w:val="001655E6"/>
    <w:rsid w:val="00165751"/>
    <w:rsid w:val="00165B4C"/>
    <w:rsid w:val="00165D97"/>
    <w:rsid w:val="00165DB8"/>
    <w:rsid w:val="00165E18"/>
    <w:rsid w:val="00165FAD"/>
    <w:rsid w:val="0016670D"/>
    <w:rsid w:val="0016699B"/>
    <w:rsid w:val="00166ADE"/>
    <w:rsid w:val="0016752F"/>
    <w:rsid w:val="00167999"/>
    <w:rsid w:val="001679CA"/>
    <w:rsid w:val="001704CF"/>
    <w:rsid w:val="001706FC"/>
    <w:rsid w:val="0017082F"/>
    <w:rsid w:val="001708A9"/>
    <w:rsid w:val="00170942"/>
    <w:rsid w:val="001709BF"/>
    <w:rsid w:val="00170A0F"/>
    <w:rsid w:val="00170D76"/>
    <w:rsid w:val="00170E55"/>
    <w:rsid w:val="0017102D"/>
    <w:rsid w:val="001716B1"/>
    <w:rsid w:val="00171D1E"/>
    <w:rsid w:val="00171F1B"/>
    <w:rsid w:val="0017295E"/>
    <w:rsid w:val="001729AF"/>
    <w:rsid w:val="00172AF1"/>
    <w:rsid w:val="00172E92"/>
    <w:rsid w:val="00173010"/>
    <w:rsid w:val="0017344A"/>
    <w:rsid w:val="00173D99"/>
    <w:rsid w:val="00174000"/>
    <w:rsid w:val="001742EC"/>
    <w:rsid w:val="00174A95"/>
    <w:rsid w:val="00175ABA"/>
    <w:rsid w:val="00176186"/>
    <w:rsid w:val="0017677A"/>
    <w:rsid w:val="0017733C"/>
    <w:rsid w:val="001803F6"/>
    <w:rsid w:val="00180439"/>
    <w:rsid w:val="0018048D"/>
    <w:rsid w:val="0018050A"/>
    <w:rsid w:val="00180532"/>
    <w:rsid w:val="00181470"/>
    <w:rsid w:val="001814CB"/>
    <w:rsid w:val="0018217E"/>
    <w:rsid w:val="00182221"/>
    <w:rsid w:val="0018268C"/>
    <w:rsid w:val="00183723"/>
    <w:rsid w:val="0018389C"/>
    <w:rsid w:val="00183996"/>
    <w:rsid w:val="00183B73"/>
    <w:rsid w:val="001845DC"/>
    <w:rsid w:val="00184D50"/>
    <w:rsid w:val="0018510B"/>
    <w:rsid w:val="00185768"/>
    <w:rsid w:val="00185AB9"/>
    <w:rsid w:val="00185C79"/>
    <w:rsid w:val="00186139"/>
    <w:rsid w:val="001866F4"/>
    <w:rsid w:val="001868CA"/>
    <w:rsid w:val="00186A0E"/>
    <w:rsid w:val="00187392"/>
    <w:rsid w:val="00190C5C"/>
    <w:rsid w:val="0019280A"/>
    <w:rsid w:val="00192F0E"/>
    <w:rsid w:val="001934FD"/>
    <w:rsid w:val="001935A5"/>
    <w:rsid w:val="001935CD"/>
    <w:rsid w:val="00193636"/>
    <w:rsid w:val="001941B1"/>
    <w:rsid w:val="001945EF"/>
    <w:rsid w:val="00194D55"/>
    <w:rsid w:val="001968EC"/>
    <w:rsid w:val="00196B0E"/>
    <w:rsid w:val="00196BD1"/>
    <w:rsid w:val="0019757A"/>
    <w:rsid w:val="00197A3E"/>
    <w:rsid w:val="001A01FE"/>
    <w:rsid w:val="001A08FB"/>
    <w:rsid w:val="001A0E98"/>
    <w:rsid w:val="001A1208"/>
    <w:rsid w:val="001A14F0"/>
    <w:rsid w:val="001A15D7"/>
    <w:rsid w:val="001A19BA"/>
    <w:rsid w:val="001A223B"/>
    <w:rsid w:val="001A2605"/>
    <w:rsid w:val="001A2688"/>
    <w:rsid w:val="001A2CD6"/>
    <w:rsid w:val="001A30F8"/>
    <w:rsid w:val="001A32AD"/>
    <w:rsid w:val="001A3650"/>
    <w:rsid w:val="001A3A44"/>
    <w:rsid w:val="001A3D13"/>
    <w:rsid w:val="001A3FC3"/>
    <w:rsid w:val="001A4F74"/>
    <w:rsid w:val="001A61B1"/>
    <w:rsid w:val="001A6490"/>
    <w:rsid w:val="001A6A6A"/>
    <w:rsid w:val="001A741A"/>
    <w:rsid w:val="001A7603"/>
    <w:rsid w:val="001A7788"/>
    <w:rsid w:val="001A7AE2"/>
    <w:rsid w:val="001A7BFA"/>
    <w:rsid w:val="001A7C14"/>
    <w:rsid w:val="001A7C87"/>
    <w:rsid w:val="001B01F9"/>
    <w:rsid w:val="001B0BD9"/>
    <w:rsid w:val="001B1745"/>
    <w:rsid w:val="001B1AEF"/>
    <w:rsid w:val="001B26EF"/>
    <w:rsid w:val="001B2824"/>
    <w:rsid w:val="001B2C3D"/>
    <w:rsid w:val="001B3183"/>
    <w:rsid w:val="001B37ED"/>
    <w:rsid w:val="001B3964"/>
    <w:rsid w:val="001B3A7C"/>
    <w:rsid w:val="001B3A93"/>
    <w:rsid w:val="001B40D4"/>
    <w:rsid w:val="001B424B"/>
    <w:rsid w:val="001B4927"/>
    <w:rsid w:val="001B4A39"/>
    <w:rsid w:val="001B4B12"/>
    <w:rsid w:val="001B4D2F"/>
    <w:rsid w:val="001B542D"/>
    <w:rsid w:val="001B75C7"/>
    <w:rsid w:val="001B7947"/>
    <w:rsid w:val="001C1234"/>
    <w:rsid w:val="001C1477"/>
    <w:rsid w:val="001C1F2C"/>
    <w:rsid w:val="001C2325"/>
    <w:rsid w:val="001C24C9"/>
    <w:rsid w:val="001C2CFD"/>
    <w:rsid w:val="001C2D04"/>
    <w:rsid w:val="001C32E0"/>
    <w:rsid w:val="001C3E19"/>
    <w:rsid w:val="001C3F9F"/>
    <w:rsid w:val="001C4264"/>
    <w:rsid w:val="001C4BD3"/>
    <w:rsid w:val="001C4FE4"/>
    <w:rsid w:val="001C5209"/>
    <w:rsid w:val="001C55EE"/>
    <w:rsid w:val="001C584C"/>
    <w:rsid w:val="001C5AC1"/>
    <w:rsid w:val="001C5DAB"/>
    <w:rsid w:val="001C6075"/>
    <w:rsid w:val="001C62B7"/>
    <w:rsid w:val="001C69B5"/>
    <w:rsid w:val="001C6DDE"/>
    <w:rsid w:val="001C6F00"/>
    <w:rsid w:val="001C6FE8"/>
    <w:rsid w:val="001C723A"/>
    <w:rsid w:val="001C76F8"/>
    <w:rsid w:val="001C7AAA"/>
    <w:rsid w:val="001C7E35"/>
    <w:rsid w:val="001D0F85"/>
    <w:rsid w:val="001D1364"/>
    <w:rsid w:val="001D1566"/>
    <w:rsid w:val="001D1A0A"/>
    <w:rsid w:val="001D1ADD"/>
    <w:rsid w:val="001D1B0D"/>
    <w:rsid w:val="001D1BA4"/>
    <w:rsid w:val="001D1BA8"/>
    <w:rsid w:val="001D1D6F"/>
    <w:rsid w:val="001D2473"/>
    <w:rsid w:val="001D2DF2"/>
    <w:rsid w:val="001D2F00"/>
    <w:rsid w:val="001D3059"/>
    <w:rsid w:val="001D3594"/>
    <w:rsid w:val="001D368F"/>
    <w:rsid w:val="001D369D"/>
    <w:rsid w:val="001D38A7"/>
    <w:rsid w:val="001D3DB9"/>
    <w:rsid w:val="001D3E13"/>
    <w:rsid w:val="001D4078"/>
    <w:rsid w:val="001D4917"/>
    <w:rsid w:val="001D4B1C"/>
    <w:rsid w:val="001D5262"/>
    <w:rsid w:val="001D5366"/>
    <w:rsid w:val="001D5592"/>
    <w:rsid w:val="001D56E1"/>
    <w:rsid w:val="001D585B"/>
    <w:rsid w:val="001D5B34"/>
    <w:rsid w:val="001D632C"/>
    <w:rsid w:val="001D658A"/>
    <w:rsid w:val="001D697D"/>
    <w:rsid w:val="001D6BCF"/>
    <w:rsid w:val="001D732C"/>
    <w:rsid w:val="001D7592"/>
    <w:rsid w:val="001D75D4"/>
    <w:rsid w:val="001D7EC5"/>
    <w:rsid w:val="001E085F"/>
    <w:rsid w:val="001E0C65"/>
    <w:rsid w:val="001E0E2C"/>
    <w:rsid w:val="001E20CC"/>
    <w:rsid w:val="001E29E1"/>
    <w:rsid w:val="001E3060"/>
    <w:rsid w:val="001E3348"/>
    <w:rsid w:val="001E3830"/>
    <w:rsid w:val="001E3D7D"/>
    <w:rsid w:val="001E407F"/>
    <w:rsid w:val="001E4479"/>
    <w:rsid w:val="001E46DB"/>
    <w:rsid w:val="001E4AB9"/>
    <w:rsid w:val="001E4BF1"/>
    <w:rsid w:val="001E54C0"/>
    <w:rsid w:val="001E606B"/>
    <w:rsid w:val="001E60B8"/>
    <w:rsid w:val="001E6235"/>
    <w:rsid w:val="001E62CE"/>
    <w:rsid w:val="001E6718"/>
    <w:rsid w:val="001E6A47"/>
    <w:rsid w:val="001E6AF0"/>
    <w:rsid w:val="001E6C0B"/>
    <w:rsid w:val="001E6CC8"/>
    <w:rsid w:val="001E70D6"/>
    <w:rsid w:val="001E714A"/>
    <w:rsid w:val="001E79C2"/>
    <w:rsid w:val="001E7B73"/>
    <w:rsid w:val="001E7F13"/>
    <w:rsid w:val="001F0183"/>
    <w:rsid w:val="001F0283"/>
    <w:rsid w:val="001F0F35"/>
    <w:rsid w:val="001F1115"/>
    <w:rsid w:val="001F13A2"/>
    <w:rsid w:val="001F1407"/>
    <w:rsid w:val="001F1D9E"/>
    <w:rsid w:val="001F250C"/>
    <w:rsid w:val="001F2718"/>
    <w:rsid w:val="001F302A"/>
    <w:rsid w:val="001F47F2"/>
    <w:rsid w:val="001F4840"/>
    <w:rsid w:val="001F4A66"/>
    <w:rsid w:val="001F4C05"/>
    <w:rsid w:val="001F4C67"/>
    <w:rsid w:val="001F572C"/>
    <w:rsid w:val="001F5E11"/>
    <w:rsid w:val="001F5EBC"/>
    <w:rsid w:val="001F64BF"/>
    <w:rsid w:val="001F6E07"/>
    <w:rsid w:val="001F6EF7"/>
    <w:rsid w:val="001F77AF"/>
    <w:rsid w:val="001F7EF4"/>
    <w:rsid w:val="001F7F9C"/>
    <w:rsid w:val="00200257"/>
    <w:rsid w:val="00200575"/>
    <w:rsid w:val="00200BFC"/>
    <w:rsid w:val="0020107C"/>
    <w:rsid w:val="0020148B"/>
    <w:rsid w:val="00201582"/>
    <w:rsid w:val="002021C4"/>
    <w:rsid w:val="0020226A"/>
    <w:rsid w:val="00202C7F"/>
    <w:rsid w:val="00202E55"/>
    <w:rsid w:val="00202F9D"/>
    <w:rsid w:val="0020341B"/>
    <w:rsid w:val="00203CD1"/>
    <w:rsid w:val="002045F5"/>
    <w:rsid w:val="0020476D"/>
    <w:rsid w:val="00204A63"/>
    <w:rsid w:val="00204C59"/>
    <w:rsid w:val="00204D6B"/>
    <w:rsid w:val="00205DCA"/>
    <w:rsid w:val="002061CF"/>
    <w:rsid w:val="00206954"/>
    <w:rsid w:val="00206B0E"/>
    <w:rsid w:val="002070ED"/>
    <w:rsid w:val="00207262"/>
    <w:rsid w:val="002077A7"/>
    <w:rsid w:val="0020786C"/>
    <w:rsid w:val="00207A3B"/>
    <w:rsid w:val="00210378"/>
    <w:rsid w:val="0021061C"/>
    <w:rsid w:val="00210C84"/>
    <w:rsid w:val="0021112F"/>
    <w:rsid w:val="002111F1"/>
    <w:rsid w:val="002115A4"/>
    <w:rsid w:val="00211849"/>
    <w:rsid w:val="00212478"/>
    <w:rsid w:val="00212871"/>
    <w:rsid w:val="00212C46"/>
    <w:rsid w:val="002132AD"/>
    <w:rsid w:val="00214BB8"/>
    <w:rsid w:val="00214D4C"/>
    <w:rsid w:val="002159BC"/>
    <w:rsid w:val="002161FA"/>
    <w:rsid w:val="0021650B"/>
    <w:rsid w:val="00216574"/>
    <w:rsid w:val="0021699B"/>
    <w:rsid w:val="00216C0B"/>
    <w:rsid w:val="00216E5E"/>
    <w:rsid w:val="002172DD"/>
    <w:rsid w:val="00217336"/>
    <w:rsid w:val="002179B5"/>
    <w:rsid w:val="00217DD2"/>
    <w:rsid w:val="0022076C"/>
    <w:rsid w:val="00220D7B"/>
    <w:rsid w:val="00220FE7"/>
    <w:rsid w:val="0022120C"/>
    <w:rsid w:val="00221563"/>
    <w:rsid w:val="0022171C"/>
    <w:rsid w:val="002217E2"/>
    <w:rsid w:val="00221A0A"/>
    <w:rsid w:val="00221E12"/>
    <w:rsid w:val="00222448"/>
    <w:rsid w:val="00222508"/>
    <w:rsid w:val="0022269E"/>
    <w:rsid w:val="00222711"/>
    <w:rsid w:val="0022279F"/>
    <w:rsid w:val="00222B55"/>
    <w:rsid w:val="00222C28"/>
    <w:rsid w:val="00222E30"/>
    <w:rsid w:val="00224857"/>
    <w:rsid w:val="002248A5"/>
    <w:rsid w:val="00225040"/>
    <w:rsid w:val="00225343"/>
    <w:rsid w:val="002267CE"/>
    <w:rsid w:val="00226C49"/>
    <w:rsid w:val="00226D12"/>
    <w:rsid w:val="00227447"/>
    <w:rsid w:val="002306BF"/>
    <w:rsid w:val="00230E31"/>
    <w:rsid w:val="00231D4C"/>
    <w:rsid w:val="0023203B"/>
    <w:rsid w:val="0023229C"/>
    <w:rsid w:val="002323A9"/>
    <w:rsid w:val="0023248E"/>
    <w:rsid w:val="002326A0"/>
    <w:rsid w:val="00232D5E"/>
    <w:rsid w:val="002332AF"/>
    <w:rsid w:val="002333C2"/>
    <w:rsid w:val="0023363F"/>
    <w:rsid w:val="00233BB4"/>
    <w:rsid w:val="0023429D"/>
    <w:rsid w:val="002345B9"/>
    <w:rsid w:val="00234B34"/>
    <w:rsid w:val="00234D87"/>
    <w:rsid w:val="00235461"/>
    <w:rsid w:val="002357F8"/>
    <w:rsid w:val="0023593E"/>
    <w:rsid w:val="00235EA3"/>
    <w:rsid w:val="002363AD"/>
    <w:rsid w:val="0023690C"/>
    <w:rsid w:val="00236FCC"/>
    <w:rsid w:val="002376D5"/>
    <w:rsid w:val="00237805"/>
    <w:rsid w:val="00237C43"/>
    <w:rsid w:val="00237C96"/>
    <w:rsid w:val="00240AFE"/>
    <w:rsid w:val="00240BD1"/>
    <w:rsid w:val="00240E0C"/>
    <w:rsid w:val="00240E98"/>
    <w:rsid w:val="002412F3"/>
    <w:rsid w:val="00241644"/>
    <w:rsid w:val="002416BA"/>
    <w:rsid w:val="00241A56"/>
    <w:rsid w:val="00241D16"/>
    <w:rsid w:val="00241E7E"/>
    <w:rsid w:val="002422DF"/>
    <w:rsid w:val="002423AF"/>
    <w:rsid w:val="00243055"/>
    <w:rsid w:val="002433D5"/>
    <w:rsid w:val="002433E5"/>
    <w:rsid w:val="00243D54"/>
    <w:rsid w:val="0024407F"/>
    <w:rsid w:val="002440A8"/>
    <w:rsid w:val="00244298"/>
    <w:rsid w:val="00244915"/>
    <w:rsid w:val="0024557E"/>
    <w:rsid w:val="0024560D"/>
    <w:rsid w:val="00246316"/>
    <w:rsid w:val="0024687D"/>
    <w:rsid w:val="00247686"/>
    <w:rsid w:val="00250E26"/>
    <w:rsid w:val="0025153C"/>
    <w:rsid w:val="0025264A"/>
    <w:rsid w:val="00252FCC"/>
    <w:rsid w:val="00253586"/>
    <w:rsid w:val="00253763"/>
    <w:rsid w:val="00253B43"/>
    <w:rsid w:val="00253BA8"/>
    <w:rsid w:val="00253D0F"/>
    <w:rsid w:val="00253D6E"/>
    <w:rsid w:val="00253E51"/>
    <w:rsid w:val="002542FD"/>
    <w:rsid w:val="002543D9"/>
    <w:rsid w:val="0025499D"/>
    <w:rsid w:val="00254AAB"/>
    <w:rsid w:val="00254B02"/>
    <w:rsid w:val="00254CA3"/>
    <w:rsid w:val="002555F2"/>
    <w:rsid w:val="00255E93"/>
    <w:rsid w:val="0025796F"/>
    <w:rsid w:val="00257AEE"/>
    <w:rsid w:val="00257C28"/>
    <w:rsid w:val="0026005C"/>
    <w:rsid w:val="002603D1"/>
    <w:rsid w:val="00260891"/>
    <w:rsid w:val="002609C6"/>
    <w:rsid w:val="00260C0F"/>
    <w:rsid w:val="00261094"/>
    <w:rsid w:val="0026118C"/>
    <w:rsid w:val="0026146E"/>
    <w:rsid w:val="00261D4D"/>
    <w:rsid w:val="00261F9C"/>
    <w:rsid w:val="002628E5"/>
    <w:rsid w:val="00262BB1"/>
    <w:rsid w:val="002635F8"/>
    <w:rsid w:val="002638FE"/>
    <w:rsid w:val="002641BC"/>
    <w:rsid w:val="002642A6"/>
    <w:rsid w:val="00264786"/>
    <w:rsid w:val="002647CF"/>
    <w:rsid w:val="002649EB"/>
    <w:rsid w:val="00264B72"/>
    <w:rsid w:val="00264C35"/>
    <w:rsid w:val="00264EEA"/>
    <w:rsid w:val="00265403"/>
    <w:rsid w:val="002656BC"/>
    <w:rsid w:val="00265FC5"/>
    <w:rsid w:val="00266490"/>
    <w:rsid w:val="00266871"/>
    <w:rsid w:val="00266927"/>
    <w:rsid w:val="00267B17"/>
    <w:rsid w:val="002703EC"/>
    <w:rsid w:val="0027065F"/>
    <w:rsid w:val="00270E3E"/>
    <w:rsid w:val="00270FB9"/>
    <w:rsid w:val="0027122C"/>
    <w:rsid w:val="0027177B"/>
    <w:rsid w:val="00271DE8"/>
    <w:rsid w:val="00272729"/>
    <w:rsid w:val="00272AE8"/>
    <w:rsid w:val="00272C9B"/>
    <w:rsid w:val="002731C4"/>
    <w:rsid w:val="0027355A"/>
    <w:rsid w:val="002736AA"/>
    <w:rsid w:val="002739B8"/>
    <w:rsid w:val="00273B9E"/>
    <w:rsid w:val="00273DDF"/>
    <w:rsid w:val="00273E9E"/>
    <w:rsid w:val="00273FC0"/>
    <w:rsid w:val="002749FE"/>
    <w:rsid w:val="00274A09"/>
    <w:rsid w:val="0027579D"/>
    <w:rsid w:val="00275CB0"/>
    <w:rsid w:val="002761BD"/>
    <w:rsid w:val="0027662C"/>
    <w:rsid w:val="00276835"/>
    <w:rsid w:val="002768D3"/>
    <w:rsid w:val="00276B0A"/>
    <w:rsid w:val="00277114"/>
    <w:rsid w:val="0027740F"/>
    <w:rsid w:val="002777B0"/>
    <w:rsid w:val="00277A8D"/>
    <w:rsid w:val="00277AF2"/>
    <w:rsid w:val="002803C6"/>
    <w:rsid w:val="0028045F"/>
    <w:rsid w:val="002806BD"/>
    <w:rsid w:val="00280B8C"/>
    <w:rsid w:val="00280E2F"/>
    <w:rsid w:val="002814CA"/>
    <w:rsid w:val="00281B64"/>
    <w:rsid w:val="00282959"/>
    <w:rsid w:val="00282971"/>
    <w:rsid w:val="00282F9F"/>
    <w:rsid w:val="002833CA"/>
    <w:rsid w:val="00283654"/>
    <w:rsid w:val="00283BD2"/>
    <w:rsid w:val="00284024"/>
    <w:rsid w:val="002840B0"/>
    <w:rsid w:val="002840C9"/>
    <w:rsid w:val="002846DF"/>
    <w:rsid w:val="00284A42"/>
    <w:rsid w:val="00284FDC"/>
    <w:rsid w:val="002850ED"/>
    <w:rsid w:val="00285A03"/>
    <w:rsid w:val="00285D78"/>
    <w:rsid w:val="00285ED2"/>
    <w:rsid w:val="002863DD"/>
    <w:rsid w:val="002868DE"/>
    <w:rsid w:val="00286B1F"/>
    <w:rsid w:val="0028723C"/>
    <w:rsid w:val="002873FE"/>
    <w:rsid w:val="00287785"/>
    <w:rsid w:val="0028795E"/>
    <w:rsid w:val="00287B48"/>
    <w:rsid w:val="00287F89"/>
    <w:rsid w:val="00290BC4"/>
    <w:rsid w:val="00291674"/>
    <w:rsid w:val="00291797"/>
    <w:rsid w:val="00291B06"/>
    <w:rsid w:val="00291DA2"/>
    <w:rsid w:val="00291DD6"/>
    <w:rsid w:val="0029253C"/>
    <w:rsid w:val="002927B8"/>
    <w:rsid w:val="00292909"/>
    <w:rsid w:val="00292DD0"/>
    <w:rsid w:val="00292EF1"/>
    <w:rsid w:val="00293564"/>
    <w:rsid w:val="002935A6"/>
    <w:rsid w:val="00293FCF"/>
    <w:rsid w:val="002940AB"/>
    <w:rsid w:val="002953EE"/>
    <w:rsid w:val="00295481"/>
    <w:rsid w:val="0029552E"/>
    <w:rsid w:val="002957E5"/>
    <w:rsid w:val="00295880"/>
    <w:rsid w:val="00295AD7"/>
    <w:rsid w:val="00295B9A"/>
    <w:rsid w:val="00295C04"/>
    <w:rsid w:val="002961DE"/>
    <w:rsid w:val="00296513"/>
    <w:rsid w:val="00297392"/>
    <w:rsid w:val="002973FF"/>
    <w:rsid w:val="00297A89"/>
    <w:rsid w:val="00297C04"/>
    <w:rsid w:val="002A0901"/>
    <w:rsid w:val="002A0D4D"/>
    <w:rsid w:val="002A0E2D"/>
    <w:rsid w:val="002A17DE"/>
    <w:rsid w:val="002A180B"/>
    <w:rsid w:val="002A197A"/>
    <w:rsid w:val="002A1A62"/>
    <w:rsid w:val="002A1E47"/>
    <w:rsid w:val="002A23BD"/>
    <w:rsid w:val="002A26B9"/>
    <w:rsid w:val="002A2982"/>
    <w:rsid w:val="002A2C1B"/>
    <w:rsid w:val="002A3002"/>
    <w:rsid w:val="002A3189"/>
    <w:rsid w:val="002A3735"/>
    <w:rsid w:val="002A3EF1"/>
    <w:rsid w:val="002A42FB"/>
    <w:rsid w:val="002A43A7"/>
    <w:rsid w:val="002A5026"/>
    <w:rsid w:val="002A5210"/>
    <w:rsid w:val="002A5699"/>
    <w:rsid w:val="002A6AA0"/>
    <w:rsid w:val="002A6DF5"/>
    <w:rsid w:val="002A7219"/>
    <w:rsid w:val="002A77FF"/>
    <w:rsid w:val="002B001C"/>
    <w:rsid w:val="002B0080"/>
    <w:rsid w:val="002B0AB0"/>
    <w:rsid w:val="002B0B6C"/>
    <w:rsid w:val="002B0C61"/>
    <w:rsid w:val="002B13E4"/>
    <w:rsid w:val="002B1564"/>
    <w:rsid w:val="002B1BF8"/>
    <w:rsid w:val="002B1F43"/>
    <w:rsid w:val="002B1FC7"/>
    <w:rsid w:val="002B2BB5"/>
    <w:rsid w:val="002B2F05"/>
    <w:rsid w:val="002B3047"/>
    <w:rsid w:val="002B4BF4"/>
    <w:rsid w:val="002B4C4E"/>
    <w:rsid w:val="002B52A9"/>
    <w:rsid w:val="002B5573"/>
    <w:rsid w:val="002B59C3"/>
    <w:rsid w:val="002B5E9A"/>
    <w:rsid w:val="002B5F36"/>
    <w:rsid w:val="002B63F6"/>
    <w:rsid w:val="002B6C2F"/>
    <w:rsid w:val="002B6C36"/>
    <w:rsid w:val="002B791A"/>
    <w:rsid w:val="002C04CD"/>
    <w:rsid w:val="002C0643"/>
    <w:rsid w:val="002C133B"/>
    <w:rsid w:val="002C2343"/>
    <w:rsid w:val="002C2697"/>
    <w:rsid w:val="002C2CD6"/>
    <w:rsid w:val="002C3DC8"/>
    <w:rsid w:val="002C4462"/>
    <w:rsid w:val="002C46CC"/>
    <w:rsid w:val="002C4810"/>
    <w:rsid w:val="002C48DA"/>
    <w:rsid w:val="002C4F99"/>
    <w:rsid w:val="002C54FF"/>
    <w:rsid w:val="002C5754"/>
    <w:rsid w:val="002C58CE"/>
    <w:rsid w:val="002C5A71"/>
    <w:rsid w:val="002C5B46"/>
    <w:rsid w:val="002C5BEF"/>
    <w:rsid w:val="002C5EE0"/>
    <w:rsid w:val="002C5F94"/>
    <w:rsid w:val="002C6046"/>
    <w:rsid w:val="002C6323"/>
    <w:rsid w:val="002C6401"/>
    <w:rsid w:val="002C66E1"/>
    <w:rsid w:val="002C6958"/>
    <w:rsid w:val="002C79A1"/>
    <w:rsid w:val="002C7A46"/>
    <w:rsid w:val="002C7DE5"/>
    <w:rsid w:val="002D09D0"/>
    <w:rsid w:val="002D1535"/>
    <w:rsid w:val="002D1568"/>
    <w:rsid w:val="002D1761"/>
    <w:rsid w:val="002D2083"/>
    <w:rsid w:val="002D23BE"/>
    <w:rsid w:val="002D2596"/>
    <w:rsid w:val="002D2814"/>
    <w:rsid w:val="002D288C"/>
    <w:rsid w:val="002D2B92"/>
    <w:rsid w:val="002D2DE0"/>
    <w:rsid w:val="002D31FC"/>
    <w:rsid w:val="002D3A6F"/>
    <w:rsid w:val="002D3F99"/>
    <w:rsid w:val="002D4008"/>
    <w:rsid w:val="002D47D3"/>
    <w:rsid w:val="002D4830"/>
    <w:rsid w:val="002D4932"/>
    <w:rsid w:val="002D53CB"/>
    <w:rsid w:val="002D686F"/>
    <w:rsid w:val="002D710A"/>
    <w:rsid w:val="002D73FA"/>
    <w:rsid w:val="002D7CC6"/>
    <w:rsid w:val="002E0167"/>
    <w:rsid w:val="002E0575"/>
    <w:rsid w:val="002E073D"/>
    <w:rsid w:val="002E0963"/>
    <w:rsid w:val="002E0C08"/>
    <w:rsid w:val="002E0F7E"/>
    <w:rsid w:val="002E182B"/>
    <w:rsid w:val="002E18AE"/>
    <w:rsid w:val="002E2698"/>
    <w:rsid w:val="002E2AFF"/>
    <w:rsid w:val="002E3875"/>
    <w:rsid w:val="002E3918"/>
    <w:rsid w:val="002E3932"/>
    <w:rsid w:val="002E3A1A"/>
    <w:rsid w:val="002E492A"/>
    <w:rsid w:val="002E4E58"/>
    <w:rsid w:val="002E520B"/>
    <w:rsid w:val="002E5D2E"/>
    <w:rsid w:val="002E6007"/>
    <w:rsid w:val="002E665A"/>
    <w:rsid w:val="002E6670"/>
    <w:rsid w:val="002E6A6A"/>
    <w:rsid w:val="002E6C9A"/>
    <w:rsid w:val="002E7455"/>
    <w:rsid w:val="002E757B"/>
    <w:rsid w:val="002E76C6"/>
    <w:rsid w:val="002E7EA7"/>
    <w:rsid w:val="002E7EDD"/>
    <w:rsid w:val="002F01E2"/>
    <w:rsid w:val="002F03B9"/>
    <w:rsid w:val="002F04B7"/>
    <w:rsid w:val="002F088E"/>
    <w:rsid w:val="002F0ACC"/>
    <w:rsid w:val="002F0BE0"/>
    <w:rsid w:val="002F136C"/>
    <w:rsid w:val="002F1514"/>
    <w:rsid w:val="002F16EC"/>
    <w:rsid w:val="002F1A30"/>
    <w:rsid w:val="002F20DC"/>
    <w:rsid w:val="002F23F3"/>
    <w:rsid w:val="002F2953"/>
    <w:rsid w:val="002F296B"/>
    <w:rsid w:val="002F2A28"/>
    <w:rsid w:val="002F2F39"/>
    <w:rsid w:val="002F35BD"/>
    <w:rsid w:val="002F38C9"/>
    <w:rsid w:val="002F3C02"/>
    <w:rsid w:val="002F3F22"/>
    <w:rsid w:val="002F43C0"/>
    <w:rsid w:val="002F47C5"/>
    <w:rsid w:val="002F4A59"/>
    <w:rsid w:val="002F502E"/>
    <w:rsid w:val="002F51CB"/>
    <w:rsid w:val="002F520E"/>
    <w:rsid w:val="002F53D0"/>
    <w:rsid w:val="002F5663"/>
    <w:rsid w:val="002F5BB6"/>
    <w:rsid w:val="002F5E63"/>
    <w:rsid w:val="002F6578"/>
    <w:rsid w:val="002F691C"/>
    <w:rsid w:val="002F7214"/>
    <w:rsid w:val="002F7873"/>
    <w:rsid w:val="002F7ED2"/>
    <w:rsid w:val="00300995"/>
    <w:rsid w:val="00300D15"/>
    <w:rsid w:val="003010D8"/>
    <w:rsid w:val="003012B7"/>
    <w:rsid w:val="003013C3"/>
    <w:rsid w:val="00302423"/>
    <w:rsid w:val="00302BD8"/>
    <w:rsid w:val="00302EF9"/>
    <w:rsid w:val="003031CB"/>
    <w:rsid w:val="003031EE"/>
    <w:rsid w:val="003032A6"/>
    <w:rsid w:val="003034EA"/>
    <w:rsid w:val="00303763"/>
    <w:rsid w:val="00303F40"/>
    <w:rsid w:val="00304CEE"/>
    <w:rsid w:val="0030505D"/>
    <w:rsid w:val="00306125"/>
    <w:rsid w:val="0030647E"/>
    <w:rsid w:val="003065CF"/>
    <w:rsid w:val="00307838"/>
    <w:rsid w:val="00307DF6"/>
    <w:rsid w:val="003101BE"/>
    <w:rsid w:val="0031058D"/>
    <w:rsid w:val="003108B5"/>
    <w:rsid w:val="00310BF8"/>
    <w:rsid w:val="003128AE"/>
    <w:rsid w:val="00313432"/>
    <w:rsid w:val="00313465"/>
    <w:rsid w:val="003139DD"/>
    <w:rsid w:val="00313E46"/>
    <w:rsid w:val="0031400D"/>
    <w:rsid w:val="003147DE"/>
    <w:rsid w:val="0031481F"/>
    <w:rsid w:val="003157C8"/>
    <w:rsid w:val="00315870"/>
    <w:rsid w:val="00315963"/>
    <w:rsid w:val="00315C44"/>
    <w:rsid w:val="003160DA"/>
    <w:rsid w:val="00316133"/>
    <w:rsid w:val="00316180"/>
    <w:rsid w:val="00316684"/>
    <w:rsid w:val="00316819"/>
    <w:rsid w:val="003169B2"/>
    <w:rsid w:val="00316BEF"/>
    <w:rsid w:val="00316C66"/>
    <w:rsid w:val="00316E09"/>
    <w:rsid w:val="00316FF1"/>
    <w:rsid w:val="00317AF8"/>
    <w:rsid w:val="0032024C"/>
    <w:rsid w:val="003206EE"/>
    <w:rsid w:val="00320A5D"/>
    <w:rsid w:val="0032180A"/>
    <w:rsid w:val="00321B46"/>
    <w:rsid w:val="00322320"/>
    <w:rsid w:val="0032253E"/>
    <w:rsid w:val="003227FD"/>
    <w:rsid w:val="003228B6"/>
    <w:rsid w:val="00322F1A"/>
    <w:rsid w:val="00323CE4"/>
    <w:rsid w:val="00323D76"/>
    <w:rsid w:val="003242E4"/>
    <w:rsid w:val="00324664"/>
    <w:rsid w:val="0032580F"/>
    <w:rsid w:val="00326AA7"/>
    <w:rsid w:val="00326EFF"/>
    <w:rsid w:val="00327111"/>
    <w:rsid w:val="00327331"/>
    <w:rsid w:val="003276FF"/>
    <w:rsid w:val="00327DB3"/>
    <w:rsid w:val="00327ED2"/>
    <w:rsid w:val="00327F63"/>
    <w:rsid w:val="003301E0"/>
    <w:rsid w:val="00330BD6"/>
    <w:rsid w:val="00331288"/>
    <w:rsid w:val="003313C3"/>
    <w:rsid w:val="00331E46"/>
    <w:rsid w:val="003321A5"/>
    <w:rsid w:val="00332A1F"/>
    <w:rsid w:val="00332BEF"/>
    <w:rsid w:val="00333C69"/>
    <w:rsid w:val="00333F6E"/>
    <w:rsid w:val="00334577"/>
    <w:rsid w:val="00335119"/>
    <w:rsid w:val="003359E5"/>
    <w:rsid w:val="00335AC2"/>
    <w:rsid w:val="00336013"/>
    <w:rsid w:val="003362D4"/>
    <w:rsid w:val="003363C7"/>
    <w:rsid w:val="00336B79"/>
    <w:rsid w:val="00336EC2"/>
    <w:rsid w:val="00337047"/>
    <w:rsid w:val="003372AE"/>
    <w:rsid w:val="00337A52"/>
    <w:rsid w:val="00337B31"/>
    <w:rsid w:val="00337EF7"/>
    <w:rsid w:val="0034037C"/>
    <w:rsid w:val="003417EB"/>
    <w:rsid w:val="00341AD5"/>
    <w:rsid w:val="00341C93"/>
    <w:rsid w:val="00342CA6"/>
    <w:rsid w:val="00343343"/>
    <w:rsid w:val="003438AE"/>
    <w:rsid w:val="00343FDD"/>
    <w:rsid w:val="00344233"/>
    <w:rsid w:val="003442BC"/>
    <w:rsid w:val="003443BB"/>
    <w:rsid w:val="003444F9"/>
    <w:rsid w:val="003459EE"/>
    <w:rsid w:val="0034624E"/>
    <w:rsid w:val="0034668B"/>
    <w:rsid w:val="003469AE"/>
    <w:rsid w:val="00346DA4"/>
    <w:rsid w:val="003470E4"/>
    <w:rsid w:val="00347719"/>
    <w:rsid w:val="00347BE3"/>
    <w:rsid w:val="003500D8"/>
    <w:rsid w:val="0035047D"/>
    <w:rsid w:val="003505D4"/>
    <w:rsid w:val="00350C03"/>
    <w:rsid w:val="00350F60"/>
    <w:rsid w:val="00352893"/>
    <w:rsid w:val="00352A6D"/>
    <w:rsid w:val="00352B0F"/>
    <w:rsid w:val="00352DC4"/>
    <w:rsid w:val="00352F60"/>
    <w:rsid w:val="00353321"/>
    <w:rsid w:val="00353713"/>
    <w:rsid w:val="0035399D"/>
    <w:rsid w:val="00353AD3"/>
    <w:rsid w:val="00353FC2"/>
    <w:rsid w:val="003541D2"/>
    <w:rsid w:val="003542AD"/>
    <w:rsid w:val="003543A0"/>
    <w:rsid w:val="0035477C"/>
    <w:rsid w:val="00354AA1"/>
    <w:rsid w:val="003550F6"/>
    <w:rsid w:val="003556CF"/>
    <w:rsid w:val="00355D33"/>
    <w:rsid w:val="00356083"/>
    <w:rsid w:val="0035678B"/>
    <w:rsid w:val="0035695F"/>
    <w:rsid w:val="00356DD6"/>
    <w:rsid w:val="0035709C"/>
    <w:rsid w:val="00357120"/>
    <w:rsid w:val="003575CC"/>
    <w:rsid w:val="003578FE"/>
    <w:rsid w:val="00357A0E"/>
    <w:rsid w:val="00360250"/>
    <w:rsid w:val="003603E8"/>
    <w:rsid w:val="00360BC2"/>
    <w:rsid w:val="0036154F"/>
    <w:rsid w:val="003615C7"/>
    <w:rsid w:val="00361ACE"/>
    <w:rsid w:val="0036230D"/>
    <w:rsid w:val="00362929"/>
    <w:rsid w:val="00362A4F"/>
    <w:rsid w:val="00362C57"/>
    <w:rsid w:val="00362CA2"/>
    <w:rsid w:val="003631EE"/>
    <w:rsid w:val="003634A0"/>
    <w:rsid w:val="00363693"/>
    <w:rsid w:val="00363AF8"/>
    <w:rsid w:val="00363AF9"/>
    <w:rsid w:val="00363C33"/>
    <w:rsid w:val="00364657"/>
    <w:rsid w:val="003647E9"/>
    <w:rsid w:val="003654EB"/>
    <w:rsid w:val="003660B8"/>
    <w:rsid w:val="00366C89"/>
    <w:rsid w:val="00367233"/>
    <w:rsid w:val="0036794E"/>
    <w:rsid w:val="00367F88"/>
    <w:rsid w:val="003706E1"/>
    <w:rsid w:val="00370ADE"/>
    <w:rsid w:val="00371150"/>
    <w:rsid w:val="003716C5"/>
    <w:rsid w:val="00371BD8"/>
    <w:rsid w:val="00371C96"/>
    <w:rsid w:val="0037222B"/>
    <w:rsid w:val="0037229B"/>
    <w:rsid w:val="003722E5"/>
    <w:rsid w:val="00372722"/>
    <w:rsid w:val="00372B89"/>
    <w:rsid w:val="003730B0"/>
    <w:rsid w:val="00373C72"/>
    <w:rsid w:val="0037506E"/>
    <w:rsid w:val="00375155"/>
    <w:rsid w:val="003755F2"/>
    <w:rsid w:val="00375F49"/>
    <w:rsid w:val="00375F7D"/>
    <w:rsid w:val="00376055"/>
    <w:rsid w:val="00376763"/>
    <w:rsid w:val="00376886"/>
    <w:rsid w:val="00376A41"/>
    <w:rsid w:val="00376B68"/>
    <w:rsid w:val="00376CFB"/>
    <w:rsid w:val="00377F85"/>
    <w:rsid w:val="003800B8"/>
    <w:rsid w:val="00380E98"/>
    <w:rsid w:val="00381134"/>
    <w:rsid w:val="003815B8"/>
    <w:rsid w:val="00381DC5"/>
    <w:rsid w:val="003823A5"/>
    <w:rsid w:val="00382F32"/>
    <w:rsid w:val="00383F06"/>
    <w:rsid w:val="00384176"/>
    <w:rsid w:val="003841A5"/>
    <w:rsid w:val="00384A29"/>
    <w:rsid w:val="003851BF"/>
    <w:rsid w:val="00385E3B"/>
    <w:rsid w:val="003861F0"/>
    <w:rsid w:val="00386581"/>
    <w:rsid w:val="00386961"/>
    <w:rsid w:val="003875BB"/>
    <w:rsid w:val="00387880"/>
    <w:rsid w:val="003879D0"/>
    <w:rsid w:val="00387B36"/>
    <w:rsid w:val="003900F7"/>
    <w:rsid w:val="003904DF"/>
    <w:rsid w:val="00390A1B"/>
    <w:rsid w:val="00391425"/>
    <w:rsid w:val="00391774"/>
    <w:rsid w:val="00391797"/>
    <w:rsid w:val="00391D94"/>
    <w:rsid w:val="00392028"/>
    <w:rsid w:val="003922AC"/>
    <w:rsid w:val="00392745"/>
    <w:rsid w:val="00393421"/>
    <w:rsid w:val="003935E5"/>
    <w:rsid w:val="00393D55"/>
    <w:rsid w:val="00394716"/>
    <w:rsid w:val="00394992"/>
    <w:rsid w:val="00394B53"/>
    <w:rsid w:val="0039549E"/>
    <w:rsid w:val="00395528"/>
    <w:rsid w:val="00395601"/>
    <w:rsid w:val="0039584F"/>
    <w:rsid w:val="003958A9"/>
    <w:rsid w:val="003964D7"/>
    <w:rsid w:val="00396750"/>
    <w:rsid w:val="00396D09"/>
    <w:rsid w:val="0039797F"/>
    <w:rsid w:val="00397AE8"/>
    <w:rsid w:val="00397CFA"/>
    <w:rsid w:val="003A0B29"/>
    <w:rsid w:val="003A0BA9"/>
    <w:rsid w:val="003A10A3"/>
    <w:rsid w:val="003A141B"/>
    <w:rsid w:val="003A14F9"/>
    <w:rsid w:val="003A188C"/>
    <w:rsid w:val="003A1E01"/>
    <w:rsid w:val="003A2AED"/>
    <w:rsid w:val="003A2C08"/>
    <w:rsid w:val="003A2D9C"/>
    <w:rsid w:val="003A2E70"/>
    <w:rsid w:val="003A2F54"/>
    <w:rsid w:val="003A30EF"/>
    <w:rsid w:val="003A34B8"/>
    <w:rsid w:val="003A3A2F"/>
    <w:rsid w:val="003A3D43"/>
    <w:rsid w:val="003A4155"/>
    <w:rsid w:val="003A455A"/>
    <w:rsid w:val="003A4660"/>
    <w:rsid w:val="003A4671"/>
    <w:rsid w:val="003A58E0"/>
    <w:rsid w:val="003A5BA4"/>
    <w:rsid w:val="003A654C"/>
    <w:rsid w:val="003A684E"/>
    <w:rsid w:val="003A6C53"/>
    <w:rsid w:val="003A701D"/>
    <w:rsid w:val="003A7170"/>
    <w:rsid w:val="003A734F"/>
    <w:rsid w:val="003A7845"/>
    <w:rsid w:val="003A7846"/>
    <w:rsid w:val="003A7BED"/>
    <w:rsid w:val="003A7D30"/>
    <w:rsid w:val="003A7D3C"/>
    <w:rsid w:val="003B070A"/>
    <w:rsid w:val="003B07F6"/>
    <w:rsid w:val="003B10FA"/>
    <w:rsid w:val="003B1915"/>
    <w:rsid w:val="003B1B3F"/>
    <w:rsid w:val="003B1E9B"/>
    <w:rsid w:val="003B2A32"/>
    <w:rsid w:val="003B2B22"/>
    <w:rsid w:val="003B2B23"/>
    <w:rsid w:val="003B2D51"/>
    <w:rsid w:val="003B2D61"/>
    <w:rsid w:val="003B2FBF"/>
    <w:rsid w:val="003B3D31"/>
    <w:rsid w:val="003B412D"/>
    <w:rsid w:val="003B4183"/>
    <w:rsid w:val="003B434E"/>
    <w:rsid w:val="003B49D3"/>
    <w:rsid w:val="003B4DAF"/>
    <w:rsid w:val="003B5268"/>
    <w:rsid w:val="003B5725"/>
    <w:rsid w:val="003B5B7C"/>
    <w:rsid w:val="003B605A"/>
    <w:rsid w:val="003B62EF"/>
    <w:rsid w:val="003B6579"/>
    <w:rsid w:val="003B6AEB"/>
    <w:rsid w:val="003B6BAD"/>
    <w:rsid w:val="003B6E38"/>
    <w:rsid w:val="003B72D5"/>
    <w:rsid w:val="003B7335"/>
    <w:rsid w:val="003B7430"/>
    <w:rsid w:val="003B7524"/>
    <w:rsid w:val="003B7C68"/>
    <w:rsid w:val="003B7E1C"/>
    <w:rsid w:val="003C0947"/>
    <w:rsid w:val="003C1104"/>
    <w:rsid w:val="003C1580"/>
    <w:rsid w:val="003C16BB"/>
    <w:rsid w:val="003C1848"/>
    <w:rsid w:val="003C231B"/>
    <w:rsid w:val="003C2BC7"/>
    <w:rsid w:val="003C2E38"/>
    <w:rsid w:val="003C2F23"/>
    <w:rsid w:val="003C2FB9"/>
    <w:rsid w:val="003C3314"/>
    <w:rsid w:val="003C33DB"/>
    <w:rsid w:val="003C33FF"/>
    <w:rsid w:val="003C3526"/>
    <w:rsid w:val="003C3B5D"/>
    <w:rsid w:val="003C467C"/>
    <w:rsid w:val="003C48AD"/>
    <w:rsid w:val="003C4A74"/>
    <w:rsid w:val="003C4F14"/>
    <w:rsid w:val="003C521A"/>
    <w:rsid w:val="003C6969"/>
    <w:rsid w:val="003C6A20"/>
    <w:rsid w:val="003C6B87"/>
    <w:rsid w:val="003C6D0F"/>
    <w:rsid w:val="003C7025"/>
    <w:rsid w:val="003C705B"/>
    <w:rsid w:val="003C77DC"/>
    <w:rsid w:val="003C7899"/>
    <w:rsid w:val="003C78A4"/>
    <w:rsid w:val="003C7A05"/>
    <w:rsid w:val="003C7A7A"/>
    <w:rsid w:val="003C7AA5"/>
    <w:rsid w:val="003C7E71"/>
    <w:rsid w:val="003C7ECF"/>
    <w:rsid w:val="003D01BA"/>
    <w:rsid w:val="003D0AF2"/>
    <w:rsid w:val="003D1208"/>
    <w:rsid w:val="003D12C0"/>
    <w:rsid w:val="003D1449"/>
    <w:rsid w:val="003D16B0"/>
    <w:rsid w:val="003D188A"/>
    <w:rsid w:val="003D2030"/>
    <w:rsid w:val="003D2434"/>
    <w:rsid w:val="003D3075"/>
    <w:rsid w:val="003D3910"/>
    <w:rsid w:val="003D4653"/>
    <w:rsid w:val="003D49BD"/>
    <w:rsid w:val="003D4FEB"/>
    <w:rsid w:val="003D550E"/>
    <w:rsid w:val="003D5835"/>
    <w:rsid w:val="003D5C1A"/>
    <w:rsid w:val="003D652A"/>
    <w:rsid w:val="003D67D5"/>
    <w:rsid w:val="003D77A2"/>
    <w:rsid w:val="003D7C68"/>
    <w:rsid w:val="003E08BA"/>
    <w:rsid w:val="003E0967"/>
    <w:rsid w:val="003E0AF9"/>
    <w:rsid w:val="003E0B99"/>
    <w:rsid w:val="003E1680"/>
    <w:rsid w:val="003E1AA8"/>
    <w:rsid w:val="003E1B16"/>
    <w:rsid w:val="003E1C89"/>
    <w:rsid w:val="003E2A06"/>
    <w:rsid w:val="003E2F6E"/>
    <w:rsid w:val="003E33FB"/>
    <w:rsid w:val="003E396C"/>
    <w:rsid w:val="003E3AFD"/>
    <w:rsid w:val="003E438E"/>
    <w:rsid w:val="003E45EB"/>
    <w:rsid w:val="003E478F"/>
    <w:rsid w:val="003E4868"/>
    <w:rsid w:val="003E486C"/>
    <w:rsid w:val="003E4994"/>
    <w:rsid w:val="003E4F60"/>
    <w:rsid w:val="003E55AE"/>
    <w:rsid w:val="003E604E"/>
    <w:rsid w:val="003E67C0"/>
    <w:rsid w:val="003E7394"/>
    <w:rsid w:val="003E7470"/>
    <w:rsid w:val="003E74CA"/>
    <w:rsid w:val="003E7CE6"/>
    <w:rsid w:val="003F1399"/>
    <w:rsid w:val="003F1A6C"/>
    <w:rsid w:val="003F1AB0"/>
    <w:rsid w:val="003F257E"/>
    <w:rsid w:val="003F2937"/>
    <w:rsid w:val="003F2ABB"/>
    <w:rsid w:val="003F2C04"/>
    <w:rsid w:val="003F2D88"/>
    <w:rsid w:val="003F386B"/>
    <w:rsid w:val="003F38CD"/>
    <w:rsid w:val="003F4134"/>
    <w:rsid w:val="003F42A2"/>
    <w:rsid w:val="003F49D7"/>
    <w:rsid w:val="003F4EB6"/>
    <w:rsid w:val="003F55EA"/>
    <w:rsid w:val="003F5651"/>
    <w:rsid w:val="003F5881"/>
    <w:rsid w:val="003F59E9"/>
    <w:rsid w:val="003F63F0"/>
    <w:rsid w:val="003F6993"/>
    <w:rsid w:val="003F6B77"/>
    <w:rsid w:val="003F6CA2"/>
    <w:rsid w:val="003F7391"/>
    <w:rsid w:val="003F749D"/>
    <w:rsid w:val="003F7757"/>
    <w:rsid w:val="003F7BFD"/>
    <w:rsid w:val="00400416"/>
    <w:rsid w:val="004009CC"/>
    <w:rsid w:val="00401356"/>
    <w:rsid w:val="0040179E"/>
    <w:rsid w:val="00401875"/>
    <w:rsid w:val="004019C7"/>
    <w:rsid w:val="0040203D"/>
    <w:rsid w:val="0040208A"/>
    <w:rsid w:val="00402456"/>
    <w:rsid w:val="00402ED1"/>
    <w:rsid w:val="004035B9"/>
    <w:rsid w:val="00403658"/>
    <w:rsid w:val="00403774"/>
    <w:rsid w:val="004037B7"/>
    <w:rsid w:val="00403A58"/>
    <w:rsid w:val="00403F77"/>
    <w:rsid w:val="00403FE5"/>
    <w:rsid w:val="0040409A"/>
    <w:rsid w:val="00404887"/>
    <w:rsid w:val="00405736"/>
    <w:rsid w:val="00405966"/>
    <w:rsid w:val="00405CB3"/>
    <w:rsid w:val="00405E9E"/>
    <w:rsid w:val="004062A6"/>
    <w:rsid w:val="004064FD"/>
    <w:rsid w:val="0040670F"/>
    <w:rsid w:val="0040694D"/>
    <w:rsid w:val="004075B3"/>
    <w:rsid w:val="00407858"/>
    <w:rsid w:val="004079EB"/>
    <w:rsid w:val="00407DA5"/>
    <w:rsid w:val="00407E20"/>
    <w:rsid w:val="00410394"/>
    <w:rsid w:val="004105A5"/>
    <w:rsid w:val="00410865"/>
    <w:rsid w:val="004109F2"/>
    <w:rsid w:val="00410C4F"/>
    <w:rsid w:val="00410E3F"/>
    <w:rsid w:val="004112EB"/>
    <w:rsid w:val="004115A8"/>
    <w:rsid w:val="00411E54"/>
    <w:rsid w:val="0041226C"/>
    <w:rsid w:val="0041250F"/>
    <w:rsid w:val="00412643"/>
    <w:rsid w:val="004130D0"/>
    <w:rsid w:val="004132DC"/>
    <w:rsid w:val="004136E8"/>
    <w:rsid w:val="00413843"/>
    <w:rsid w:val="00413B95"/>
    <w:rsid w:val="00413D3A"/>
    <w:rsid w:val="004147FC"/>
    <w:rsid w:val="004148BB"/>
    <w:rsid w:val="00414EC1"/>
    <w:rsid w:val="00415360"/>
    <w:rsid w:val="004154CE"/>
    <w:rsid w:val="004156DA"/>
    <w:rsid w:val="00415E5D"/>
    <w:rsid w:val="0041606D"/>
    <w:rsid w:val="00416275"/>
    <w:rsid w:val="004166C1"/>
    <w:rsid w:val="004169C5"/>
    <w:rsid w:val="00416A9F"/>
    <w:rsid w:val="00416AA8"/>
    <w:rsid w:val="00416F45"/>
    <w:rsid w:val="00417291"/>
    <w:rsid w:val="004177C6"/>
    <w:rsid w:val="00417F2C"/>
    <w:rsid w:val="00417F91"/>
    <w:rsid w:val="00420238"/>
    <w:rsid w:val="00420CE0"/>
    <w:rsid w:val="00420D14"/>
    <w:rsid w:val="004221CB"/>
    <w:rsid w:val="00422427"/>
    <w:rsid w:val="0042256C"/>
    <w:rsid w:val="00423244"/>
    <w:rsid w:val="00423B8E"/>
    <w:rsid w:val="00423EE0"/>
    <w:rsid w:val="0042428D"/>
    <w:rsid w:val="00424412"/>
    <w:rsid w:val="004245A9"/>
    <w:rsid w:val="004248D3"/>
    <w:rsid w:val="00425557"/>
    <w:rsid w:val="00425657"/>
    <w:rsid w:val="00425E02"/>
    <w:rsid w:val="004261D5"/>
    <w:rsid w:val="00426812"/>
    <w:rsid w:val="00426976"/>
    <w:rsid w:val="00426C52"/>
    <w:rsid w:val="00426DBB"/>
    <w:rsid w:val="00426E8F"/>
    <w:rsid w:val="004272B2"/>
    <w:rsid w:val="004274E3"/>
    <w:rsid w:val="004275EE"/>
    <w:rsid w:val="00427721"/>
    <w:rsid w:val="0042774F"/>
    <w:rsid w:val="00427A56"/>
    <w:rsid w:val="00430322"/>
    <w:rsid w:val="004303D7"/>
    <w:rsid w:val="004307A3"/>
    <w:rsid w:val="00430A0A"/>
    <w:rsid w:val="004310AB"/>
    <w:rsid w:val="00431358"/>
    <w:rsid w:val="00431404"/>
    <w:rsid w:val="00431476"/>
    <w:rsid w:val="0043165A"/>
    <w:rsid w:val="00431774"/>
    <w:rsid w:val="00431C98"/>
    <w:rsid w:val="00431EF1"/>
    <w:rsid w:val="004323E4"/>
    <w:rsid w:val="00432645"/>
    <w:rsid w:val="00432924"/>
    <w:rsid w:val="00432995"/>
    <w:rsid w:val="00432A6A"/>
    <w:rsid w:val="00432B9B"/>
    <w:rsid w:val="00433450"/>
    <w:rsid w:val="00433B39"/>
    <w:rsid w:val="0043407F"/>
    <w:rsid w:val="00434BDD"/>
    <w:rsid w:val="00434D6F"/>
    <w:rsid w:val="0043522C"/>
    <w:rsid w:val="0043579A"/>
    <w:rsid w:val="00435859"/>
    <w:rsid w:val="004360E4"/>
    <w:rsid w:val="004363A2"/>
    <w:rsid w:val="0043642D"/>
    <w:rsid w:val="00436F29"/>
    <w:rsid w:val="0043742A"/>
    <w:rsid w:val="004374CD"/>
    <w:rsid w:val="00437596"/>
    <w:rsid w:val="00437E5A"/>
    <w:rsid w:val="00437FE1"/>
    <w:rsid w:val="00440487"/>
    <w:rsid w:val="0044066F"/>
    <w:rsid w:val="00440B17"/>
    <w:rsid w:val="00440D2A"/>
    <w:rsid w:val="004412A0"/>
    <w:rsid w:val="004412AF"/>
    <w:rsid w:val="00442278"/>
    <w:rsid w:val="00442657"/>
    <w:rsid w:val="00442DB2"/>
    <w:rsid w:val="004437B4"/>
    <w:rsid w:val="004440A7"/>
    <w:rsid w:val="0044436F"/>
    <w:rsid w:val="00444460"/>
    <w:rsid w:val="00444E27"/>
    <w:rsid w:val="00444F6E"/>
    <w:rsid w:val="00445A22"/>
    <w:rsid w:val="00445B8B"/>
    <w:rsid w:val="004462B6"/>
    <w:rsid w:val="00446592"/>
    <w:rsid w:val="004465C9"/>
    <w:rsid w:val="00446F8D"/>
    <w:rsid w:val="0044712E"/>
    <w:rsid w:val="0044723B"/>
    <w:rsid w:val="00447573"/>
    <w:rsid w:val="004478D8"/>
    <w:rsid w:val="00447FC5"/>
    <w:rsid w:val="00450104"/>
    <w:rsid w:val="00450552"/>
    <w:rsid w:val="004512B8"/>
    <w:rsid w:val="004518B7"/>
    <w:rsid w:val="00451D3B"/>
    <w:rsid w:val="004520A8"/>
    <w:rsid w:val="00452AF4"/>
    <w:rsid w:val="00452C5E"/>
    <w:rsid w:val="00452F1E"/>
    <w:rsid w:val="0045301A"/>
    <w:rsid w:val="00453047"/>
    <w:rsid w:val="004534B2"/>
    <w:rsid w:val="004536C4"/>
    <w:rsid w:val="0045387A"/>
    <w:rsid w:val="00453E0C"/>
    <w:rsid w:val="004541C5"/>
    <w:rsid w:val="0045443B"/>
    <w:rsid w:val="0045478C"/>
    <w:rsid w:val="00454AD4"/>
    <w:rsid w:val="00454B38"/>
    <w:rsid w:val="004551BD"/>
    <w:rsid w:val="0045550D"/>
    <w:rsid w:val="0045579C"/>
    <w:rsid w:val="00455CB2"/>
    <w:rsid w:val="00455E91"/>
    <w:rsid w:val="004560D9"/>
    <w:rsid w:val="004567C5"/>
    <w:rsid w:val="00456E6E"/>
    <w:rsid w:val="004573C3"/>
    <w:rsid w:val="00457BB2"/>
    <w:rsid w:val="0046090C"/>
    <w:rsid w:val="00460947"/>
    <w:rsid w:val="00460A0F"/>
    <w:rsid w:val="004613B5"/>
    <w:rsid w:val="0046187D"/>
    <w:rsid w:val="00461C59"/>
    <w:rsid w:val="004625EB"/>
    <w:rsid w:val="00462B72"/>
    <w:rsid w:val="004634D4"/>
    <w:rsid w:val="00463601"/>
    <w:rsid w:val="004636B8"/>
    <w:rsid w:val="0046379F"/>
    <w:rsid w:val="00463870"/>
    <w:rsid w:val="00463E52"/>
    <w:rsid w:val="00464277"/>
    <w:rsid w:val="004644A3"/>
    <w:rsid w:val="00464DB6"/>
    <w:rsid w:val="00464EC3"/>
    <w:rsid w:val="00465B47"/>
    <w:rsid w:val="004661CC"/>
    <w:rsid w:val="00466233"/>
    <w:rsid w:val="00466927"/>
    <w:rsid w:val="00466F78"/>
    <w:rsid w:val="00467514"/>
    <w:rsid w:val="00470430"/>
    <w:rsid w:val="0047049C"/>
    <w:rsid w:val="00470523"/>
    <w:rsid w:val="00470591"/>
    <w:rsid w:val="00470803"/>
    <w:rsid w:val="00470C23"/>
    <w:rsid w:val="00470E40"/>
    <w:rsid w:val="00471403"/>
    <w:rsid w:val="00471426"/>
    <w:rsid w:val="0047143F"/>
    <w:rsid w:val="00471D4B"/>
    <w:rsid w:val="0047254E"/>
    <w:rsid w:val="0047269F"/>
    <w:rsid w:val="0047287A"/>
    <w:rsid w:val="00472B82"/>
    <w:rsid w:val="00472ED5"/>
    <w:rsid w:val="00473225"/>
    <w:rsid w:val="0047339D"/>
    <w:rsid w:val="004736D6"/>
    <w:rsid w:val="00473835"/>
    <w:rsid w:val="00473DE9"/>
    <w:rsid w:val="00474191"/>
    <w:rsid w:val="004746A7"/>
    <w:rsid w:val="00474ED8"/>
    <w:rsid w:val="00475467"/>
    <w:rsid w:val="00475657"/>
    <w:rsid w:val="00475E7A"/>
    <w:rsid w:val="00475F4D"/>
    <w:rsid w:val="004760E0"/>
    <w:rsid w:val="0047643A"/>
    <w:rsid w:val="00476FDA"/>
    <w:rsid w:val="00477137"/>
    <w:rsid w:val="00477B5F"/>
    <w:rsid w:val="00477FCB"/>
    <w:rsid w:val="004800E4"/>
    <w:rsid w:val="0048069C"/>
    <w:rsid w:val="004809F7"/>
    <w:rsid w:val="0048118C"/>
    <w:rsid w:val="00481383"/>
    <w:rsid w:val="004818EC"/>
    <w:rsid w:val="0048210B"/>
    <w:rsid w:val="00482624"/>
    <w:rsid w:val="0048307A"/>
    <w:rsid w:val="0048381E"/>
    <w:rsid w:val="00483930"/>
    <w:rsid w:val="00483E1B"/>
    <w:rsid w:val="00484109"/>
    <w:rsid w:val="00484393"/>
    <w:rsid w:val="00484538"/>
    <w:rsid w:val="004848B6"/>
    <w:rsid w:val="00484B83"/>
    <w:rsid w:val="00484C52"/>
    <w:rsid w:val="00484F52"/>
    <w:rsid w:val="0048523E"/>
    <w:rsid w:val="004855EA"/>
    <w:rsid w:val="00485A4A"/>
    <w:rsid w:val="00485D67"/>
    <w:rsid w:val="0048656E"/>
    <w:rsid w:val="004866AB"/>
    <w:rsid w:val="00486F77"/>
    <w:rsid w:val="00487089"/>
    <w:rsid w:val="00487510"/>
    <w:rsid w:val="0048752F"/>
    <w:rsid w:val="0049037D"/>
    <w:rsid w:val="0049069D"/>
    <w:rsid w:val="00490CD5"/>
    <w:rsid w:val="00490CD6"/>
    <w:rsid w:val="00490EE8"/>
    <w:rsid w:val="00490FED"/>
    <w:rsid w:val="00491B07"/>
    <w:rsid w:val="00491C8B"/>
    <w:rsid w:val="00491E03"/>
    <w:rsid w:val="0049248B"/>
    <w:rsid w:val="00492948"/>
    <w:rsid w:val="004930FA"/>
    <w:rsid w:val="0049345B"/>
    <w:rsid w:val="0049359C"/>
    <w:rsid w:val="0049385D"/>
    <w:rsid w:val="004938DE"/>
    <w:rsid w:val="0049489A"/>
    <w:rsid w:val="004948F1"/>
    <w:rsid w:val="0049490B"/>
    <w:rsid w:val="00494A24"/>
    <w:rsid w:val="00494E31"/>
    <w:rsid w:val="00495122"/>
    <w:rsid w:val="00495929"/>
    <w:rsid w:val="00495E43"/>
    <w:rsid w:val="004963A4"/>
    <w:rsid w:val="00496A14"/>
    <w:rsid w:val="00496AC0"/>
    <w:rsid w:val="00496DCB"/>
    <w:rsid w:val="00496E32"/>
    <w:rsid w:val="00496FE0"/>
    <w:rsid w:val="00497008"/>
    <w:rsid w:val="00497041"/>
    <w:rsid w:val="00497086"/>
    <w:rsid w:val="0049731A"/>
    <w:rsid w:val="00497C35"/>
    <w:rsid w:val="00497F53"/>
    <w:rsid w:val="004A04CC"/>
    <w:rsid w:val="004A1114"/>
    <w:rsid w:val="004A199B"/>
    <w:rsid w:val="004A1D55"/>
    <w:rsid w:val="004A2176"/>
    <w:rsid w:val="004A24C8"/>
    <w:rsid w:val="004A2530"/>
    <w:rsid w:val="004A26D7"/>
    <w:rsid w:val="004A3738"/>
    <w:rsid w:val="004A3D03"/>
    <w:rsid w:val="004A5378"/>
    <w:rsid w:val="004A54A0"/>
    <w:rsid w:val="004A5502"/>
    <w:rsid w:val="004A569D"/>
    <w:rsid w:val="004A5ECF"/>
    <w:rsid w:val="004A6396"/>
    <w:rsid w:val="004A644F"/>
    <w:rsid w:val="004A6D8C"/>
    <w:rsid w:val="004A6F22"/>
    <w:rsid w:val="004A7441"/>
    <w:rsid w:val="004A77C7"/>
    <w:rsid w:val="004A7EEC"/>
    <w:rsid w:val="004B01F3"/>
    <w:rsid w:val="004B0285"/>
    <w:rsid w:val="004B0364"/>
    <w:rsid w:val="004B0F42"/>
    <w:rsid w:val="004B0FBA"/>
    <w:rsid w:val="004B161B"/>
    <w:rsid w:val="004B24D0"/>
    <w:rsid w:val="004B2D18"/>
    <w:rsid w:val="004B30CC"/>
    <w:rsid w:val="004B3157"/>
    <w:rsid w:val="004B35B4"/>
    <w:rsid w:val="004B3F99"/>
    <w:rsid w:val="004B3FCB"/>
    <w:rsid w:val="004B42CD"/>
    <w:rsid w:val="004B53E4"/>
    <w:rsid w:val="004B5EA6"/>
    <w:rsid w:val="004B6863"/>
    <w:rsid w:val="004B69CC"/>
    <w:rsid w:val="004B6BC3"/>
    <w:rsid w:val="004B755B"/>
    <w:rsid w:val="004B7679"/>
    <w:rsid w:val="004B77F9"/>
    <w:rsid w:val="004B78D2"/>
    <w:rsid w:val="004C03D3"/>
    <w:rsid w:val="004C0441"/>
    <w:rsid w:val="004C0961"/>
    <w:rsid w:val="004C0EF7"/>
    <w:rsid w:val="004C15CB"/>
    <w:rsid w:val="004C15F4"/>
    <w:rsid w:val="004C1AE7"/>
    <w:rsid w:val="004C1D0A"/>
    <w:rsid w:val="004C1D3E"/>
    <w:rsid w:val="004C1FE9"/>
    <w:rsid w:val="004C265C"/>
    <w:rsid w:val="004C2662"/>
    <w:rsid w:val="004C34FE"/>
    <w:rsid w:val="004C3FC6"/>
    <w:rsid w:val="004C43B8"/>
    <w:rsid w:val="004C4922"/>
    <w:rsid w:val="004C5280"/>
    <w:rsid w:val="004C566D"/>
    <w:rsid w:val="004C59E1"/>
    <w:rsid w:val="004C5F1D"/>
    <w:rsid w:val="004C5FBF"/>
    <w:rsid w:val="004C6051"/>
    <w:rsid w:val="004C6077"/>
    <w:rsid w:val="004C705B"/>
    <w:rsid w:val="004C70A0"/>
    <w:rsid w:val="004C753D"/>
    <w:rsid w:val="004C7649"/>
    <w:rsid w:val="004C76FE"/>
    <w:rsid w:val="004C78F2"/>
    <w:rsid w:val="004C7F73"/>
    <w:rsid w:val="004D070C"/>
    <w:rsid w:val="004D0C9A"/>
    <w:rsid w:val="004D1181"/>
    <w:rsid w:val="004D1CEF"/>
    <w:rsid w:val="004D1E39"/>
    <w:rsid w:val="004D27A4"/>
    <w:rsid w:val="004D28C5"/>
    <w:rsid w:val="004D3C18"/>
    <w:rsid w:val="004D4C22"/>
    <w:rsid w:val="004D54CC"/>
    <w:rsid w:val="004D54F3"/>
    <w:rsid w:val="004D5725"/>
    <w:rsid w:val="004D5898"/>
    <w:rsid w:val="004D61DE"/>
    <w:rsid w:val="004D6319"/>
    <w:rsid w:val="004D6AB3"/>
    <w:rsid w:val="004D6C0D"/>
    <w:rsid w:val="004D71C1"/>
    <w:rsid w:val="004D7355"/>
    <w:rsid w:val="004D762F"/>
    <w:rsid w:val="004D7FF8"/>
    <w:rsid w:val="004E082F"/>
    <w:rsid w:val="004E0F4E"/>
    <w:rsid w:val="004E14A8"/>
    <w:rsid w:val="004E1B89"/>
    <w:rsid w:val="004E1DE6"/>
    <w:rsid w:val="004E2264"/>
    <w:rsid w:val="004E2B2C"/>
    <w:rsid w:val="004E2CE7"/>
    <w:rsid w:val="004E3100"/>
    <w:rsid w:val="004E357E"/>
    <w:rsid w:val="004E37C6"/>
    <w:rsid w:val="004E3A39"/>
    <w:rsid w:val="004E3D36"/>
    <w:rsid w:val="004E4988"/>
    <w:rsid w:val="004E49EA"/>
    <w:rsid w:val="004E4CAF"/>
    <w:rsid w:val="004E5431"/>
    <w:rsid w:val="004E5560"/>
    <w:rsid w:val="004E5C5F"/>
    <w:rsid w:val="004E60A0"/>
    <w:rsid w:val="004E663A"/>
    <w:rsid w:val="004E6873"/>
    <w:rsid w:val="004E6ECF"/>
    <w:rsid w:val="004E76FC"/>
    <w:rsid w:val="004E791C"/>
    <w:rsid w:val="004E79F1"/>
    <w:rsid w:val="004F0125"/>
    <w:rsid w:val="004F0732"/>
    <w:rsid w:val="004F07FD"/>
    <w:rsid w:val="004F0E0A"/>
    <w:rsid w:val="004F0F94"/>
    <w:rsid w:val="004F1095"/>
    <w:rsid w:val="004F1655"/>
    <w:rsid w:val="004F1C0A"/>
    <w:rsid w:val="004F2B60"/>
    <w:rsid w:val="004F2BA9"/>
    <w:rsid w:val="004F2BC3"/>
    <w:rsid w:val="004F2C54"/>
    <w:rsid w:val="004F2E00"/>
    <w:rsid w:val="004F2F12"/>
    <w:rsid w:val="004F3B0F"/>
    <w:rsid w:val="004F3C92"/>
    <w:rsid w:val="004F4169"/>
    <w:rsid w:val="004F4686"/>
    <w:rsid w:val="004F4D6E"/>
    <w:rsid w:val="004F5093"/>
    <w:rsid w:val="004F533B"/>
    <w:rsid w:val="004F56CA"/>
    <w:rsid w:val="004F592A"/>
    <w:rsid w:val="004F59BE"/>
    <w:rsid w:val="004F5BC7"/>
    <w:rsid w:val="004F6C69"/>
    <w:rsid w:val="004F6E94"/>
    <w:rsid w:val="004F6F0B"/>
    <w:rsid w:val="004F7049"/>
    <w:rsid w:val="004F76B3"/>
    <w:rsid w:val="004F7889"/>
    <w:rsid w:val="004F7CAE"/>
    <w:rsid w:val="004F7EFD"/>
    <w:rsid w:val="0050034D"/>
    <w:rsid w:val="00500A87"/>
    <w:rsid w:val="00501134"/>
    <w:rsid w:val="00501515"/>
    <w:rsid w:val="005016CB"/>
    <w:rsid w:val="00501966"/>
    <w:rsid w:val="00501B11"/>
    <w:rsid w:val="005022FA"/>
    <w:rsid w:val="005023AB"/>
    <w:rsid w:val="0050291B"/>
    <w:rsid w:val="005029D4"/>
    <w:rsid w:val="00502A2D"/>
    <w:rsid w:val="005034F7"/>
    <w:rsid w:val="00503885"/>
    <w:rsid w:val="005040C0"/>
    <w:rsid w:val="00504110"/>
    <w:rsid w:val="00504545"/>
    <w:rsid w:val="00504757"/>
    <w:rsid w:val="00504DC5"/>
    <w:rsid w:val="0050590F"/>
    <w:rsid w:val="00505CD4"/>
    <w:rsid w:val="00506804"/>
    <w:rsid w:val="005068E3"/>
    <w:rsid w:val="00506AF5"/>
    <w:rsid w:val="00506E8B"/>
    <w:rsid w:val="00507196"/>
    <w:rsid w:val="005074F5"/>
    <w:rsid w:val="005078CA"/>
    <w:rsid w:val="00507A16"/>
    <w:rsid w:val="00507D01"/>
    <w:rsid w:val="00507EB0"/>
    <w:rsid w:val="005100A7"/>
    <w:rsid w:val="00510626"/>
    <w:rsid w:val="00510709"/>
    <w:rsid w:val="00510715"/>
    <w:rsid w:val="00510A3E"/>
    <w:rsid w:val="00510FB5"/>
    <w:rsid w:val="00511077"/>
    <w:rsid w:val="005114C6"/>
    <w:rsid w:val="0051169B"/>
    <w:rsid w:val="0051213E"/>
    <w:rsid w:val="0051283D"/>
    <w:rsid w:val="00512C58"/>
    <w:rsid w:val="00512D32"/>
    <w:rsid w:val="0051395F"/>
    <w:rsid w:val="005140ED"/>
    <w:rsid w:val="00514102"/>
    <w:rsid w:val="00514285"/>
    <w:rsid w:val="005145BB"/>
    <w:rsid w:val="00514DA3"/>
    <w:rsid w:val="00516156"/>
    <w:rsid w:val="0051655F"/>
    <w:rsid w:val="00516598"/>
    <w:rsid w:val="005176C2"/>
    <w:rsid w:val="005177E9"/>
    <w:rsid w:val="00517A45"/>
    <w:rsid w:val="0052055E"/>
    <w:rsid w:val="00520BB4"/>
    <w:rsid w:val="00521391"/>
    <w:rsid w:val="005213F8"/>
    <w:rsid w:val="005215C7"/>
    <w:rsid w:val="005217CD"/>
    <w:rsid w:val="00521BEE"/>
    <w:rsid w:val="0052214A"/>
    <w:rsid w:val="0052215F"/>
    <w:rsid w:val="00522744"/>
    <w:rsid w:val="00522B3B"/>
    <w:rsid w:val="00522D65"/>
    <w:rsid w:val="0052314D"/>
    <w:rsid w:val="00523958"/>
    <w:rsid w:val="0052450C"/>
    <w:rsid w:val="005245A3"/>
    <w:rsid w:val="00524616"/>
    <w:rsid w:val="00524EB7"/>
    <w:rsid w:val="00524EDF"/>
    <w:rsid w:val="00525077"/>
    <w:rsid w:val="005257A2"/>
    <w:rsid w:val="005258DA"/>
    <w:rsid w:val="00525E7C"/>
    <w:rsid w:val="00526C39"/>
    <w:rsid w:val="00526F25"/>
    <w:rsid w:val="00526F56"/>
    <w:rsid w:val="0052761F"/>
    <w:rsid w:val="0052766A"/>
    <w:rsid w:val="00530DFB"/>
    <w:rsid w:val="00530E85"/>
    <w:rsid w:val="005316BA"/>
    <w:rsid w:val="00531982"/>
    <w:rsid w:val="00531A23"/>
    <w:rsid w:val="00531C79"/>
    <w:rsid w:val="00531FD6"/>
    <w:rsid w:val="00532589"/>
    <w:rsid w:val="00532AA9"/>
    <w:rsid w:val="00532DF0"/>
    <w:rsid w:val="00532F5D"/>
    <w:rsid w:val="00533057"/>
    <w:rsid w:val="00533209"/>
    <w:rsid w:val="00533591"/>
    <w:rsid w:val="0053383A"/>
    <w:rsid w:val="00533B57"/>
    <w:rsid w:val="0053400F"/>
    <w:rsid w:val="00534033"/>
    <w:rsid w:val="005344A7"/>
    <w:rsid w:val="005346B7"/>
    <w:rsid w:val="005346E2"/>
    <w:rsid w:val="00534909"/>
    <w:rsid w:val="00534A81"/>
    <w:rsid w:val="00534AA7"/>
    <w:rsid w:val="00534BF1"/>
    <w:rsid w:val="00534DF6"/>
    <w:rsid w:val="0053513F"/>
    <w:rsid w:val="00535363"/>
    <w:rsid w:val="005354CF"/>
    <w:rsid w:val="005357A6"/>
    <w:rsid w:val="00535E26"/>
    <w:rsid w:val="00536044"/>
    <w:rsid w:val="0053644C"/>
    <w:rsid w:val="0053646B"/>
    <w:rsid w:val="0053657E"/>
    <w:rsid w:val="00536587"/>
    <w:rsid w:val="00536C18"/>
    <w:rsid w:val="00537073"/>
    <w:rsid w:val="00537854"/>
    <w:rsid w:val="0053793B"/>
    <w:rsid w:val="00537BBB"/>
    <w:rsid w:val="00537F73"/>
    <w:rsid w:val="0054029E"/>
    <w:rsid w:val="00540FF1"/>
    <w:rsid w:val="00541120"/>
    <w:rsid w:val="005411CC"/>
    <w:rsid w:val="00541F65"/>
    <w:rsid w:val="0054202F"/>
    <w:rsid w:val="00542074"/>
    <w:rsid w:val="00542799"/>
    <w:rsid w:val="0054287E"/>
    <w:rsid w:val="00542BDB"/>
    <w:rsid w:val="00542E21"/>
    <w:rsid w:val="0054319F"/>
    <w:rsid w:val="005432EA"/>
    <w:rsid w:val="005436FD"/>
    <w:rsid w:val="00543B25"/>
    <w:rsid w:val="0054400E"/>
    <w:rsid w:val="00544479"/>
    <w:rsid w:val="00544B5B"/>
    <w:rsid w:val="00544D33"/>
    <w:rsid w:val="00544D38"/>
    <w:rsid w:val="0054507D"/>
    <w:rsid w:val="00545207"/>
    <w:rsid w:val="00546699"/>
    <w:rsid w:val="00546D96"/>
    <w:rsid w:val="0054712B"/>
    <w:rsid w:val="00547977"/>
    <w:rsid w:val="00547B80"/>
    <w:rsid w:val="00547C9A"/>
    <w:rsid w:val="00547EC8"/>
    <w:rsid w:val="0055022E"/>
    <w:rsid w:val="00550511"/>
    <w:rsid w:val="00550649"/>
    <w:rsid w:val="00550B7D"/>
    <w:rsid w:val="00550FD0"/>
    <w:rsid w:val="005510FF"/>
    <w:rsid w:val="0055128A"/>
    <w:rsid w:val="00551297"/>
    <w:rsid w:val="005514B6"/>
    <w:rsid w:val="00551D61"/>
    <w:rsid w:val="00551ECA"/>
    <w:rsid w:val="005523F0"/>
    <w:rsid w:val="005525B9"/>
    <w:rsid w:val="00552F10"/>
    <w:rsid w:val="00552F8B"/>
    <w:rsid w:val="00553327"/>
    <w:rsid w:val="0055387B"/>
    <w:rsid w:val="00553AF5"/>
    <w:rsid w:val="00553BC8"/>
    <w:rsid w:val="00553CAC"/>
    <w:rsid w:val="00554721"/>
    <w:rsid w:val="005548EA"/>
    <w:rsid w:val="0055499E"/>
    <w:rsid w:val="005549E2"/>
    <w:rsid w:val="00555693"/>
    <w:rsid w:val="0055585E"/>
    <w:rsid w:val="005559F9"/>
    <w:rsid w:val="00555FDE"/>
    <w:rsid w:val="00556094"/>
    <w:rsid w:val="005560F3"/>
    <w:rsid w:val="00556630"/>
    <w:rsid w:val="00556648"/>
    <w:rsid w:val="00556838"/>
    <w:rsid w:val="00556879"/>
    <w:rsid w:val="00556A3F"/>
    <w:rsid w:val="00557061"/>
    <w:rsid w:val="0055706A"/>
    <w:rsid w:val="005570B6"/>
    <w:rsid w:val="00557B57"/>
    <w:rsid w:val="00557B94"/>
    <w:rsid w:val="005601C7"/>
    <w:rsid w:val="005601FF"/>
    <w:rsid w:val="00560548"/>
    <w:rsid w:val="005606D7"/>
    <w:rsid w:val="00560A04"/>
    <w:rsid w:val="00560DC7"/>
    <w:rsid w:val="00560E12"/>
    <w:rsid w:val="00560F16"/>
    <w:rsid w:val="0056134F"/>
    <w:rsid w:val="00561839"/>
    <w:rsid w:val="00561D37"/>
    <w:rsid w:val="00561FF7"/>
    <w:rsid w:val="00562DE1"/>
    <w:rsid w:val="005641CC"/>
    <w:rsid w:val="0056434F"/>
    <w:rsid w:val="005645D1"/>
    <w:rsid w:val="00564911"/>
    <w:rsid w:val="00565BF4"/>
    <w:rsid w:val="00565DC3"/>
    <w:rsid w:val="00565DD1"/>
    <w:rsid w:val="00566176"/>
    <w:rsid w:val="0056699A"/>
    <w:rsid w:val="005669D2"/>
    <w:rsid w:val="005673EB"/>
    <w:rsid w:val="0056798F"/>
    <w:rsid w:val="00567BA5"/>
    <w:rsid w:val="00567CC0"/>
    <w:rsid w:val="00567E4F"/>
    <w:rsid w:val="00567FDB"/>
    <w:rsid w:val="005700A9"/>
    <w:rsid w:val="005702C0"/>
    <w:rsid w:val="0057044B"/>
    <w:rsid w:val="005708C3"/>
    <w:rsid w:val="00570F4B"/>
    <w:rsid w:val="0057125B"/>
    <w:rsid w:val="00571490"/>
    <w:rsid w:val="0057187B"/>
    <w:rsid w:val="00571AF9"/>
    <w:rsid w:val="0057206D"/>
    <w:rsid w:val="005724D0"/>
    <w:rsid w:val="005725DD"/>
    <w:rsid w:val="00572641"/>
    <w:rsid w:val="00573055"/>
    <w:rsid w:val="00573068"/>
    <w:rsid w:val="00573A57"/>
    <w:rsid w:val="0057427D"/>
    <w:rsid w:val="00574340"/>
    <w:rsid w:val="005743AC"/>
    <w:rsid w:val="0057485F"/>
    <w:rsid w:val="005748E6"/>
    <w:rsid w:val="0057510A"/>
    <w:rsid w:val="00575560"/>
    <w:rsid w:val="005756C2"/>
    <w:rsid w:val="005756D9"/>
    <w:rsid w:val="00575A22"/>
    <w:rsid w:val="00575BDC"/>
    <w:rsid w:val="00575DEB"/>
    <w:rsid w:val="0057607B"/>
    <w:rsid w:val="00576508"/>
    <w:rsid w:val="005766DE"/>
    <w:rsid w:val="00576BFF"/>
    <w:rsid w:val="00577BE3"/>
    <w:rsid w:val="0058024C"/>
    <w:rsid w:val="005803AB"/>
    <w:rsid w:val="0058040A"/>
    <w:rsid w:val="0058169A"/>
    <w:rsid w:val="005819E3"/>
    <w:rsid w:val="00581FBF"/>
    <w:rsid w:val="005822E6"/>
    <w:rsid w:val="0058231D"/>
    <w:rsid w:val="00582AA6"/>
    <w:rsid w:val="00583074"/>
    <w:rsid w:val="00583366"/>
    <w:rsid w:val="005837A5"/>
    <w:rsid w:val="005838B4"/>
    <w:rsid w:val="00583E4E"/>
    <w:rsid w:val="00584246"/>
    <w:rsid w:val="005849F9"/>
    <w:rsid w:val="00584FE7"/>
    <w:rsid w:val="00585580"/>
    <w:rsid w:val="00585C9E"/>
    <w:rsid w:val="0058697F"/>
    <w:rsid w:val="00587696"/>
    <w:rsid w:val="005876B0"/>
    <w:rsid w:val="005876E7"/>
    <w:rsid w:val="00587F6F"/>
    <w:rsid w:val="00590A7E"/>
    <w:rsid w:val="00590A85"/>
    <w:rsid w:val="00590A92"/>
    <w:rsid w:val="00590CA8"/>
    <w:rsid w:val="00591AC0"/>
    <w:rsid w:val="00592B52"/>
    <w:rsid w:val="0059317C"/>
    <w:rsid w:val="00593AD5"/>
    <w:rsid w:val="00593AF7"/>
    <w:rsid w:val="00593C05"/>
    <w:rsid w:val="00593E74"/>
    <w:rsid w:val="0059490A"/>
    <w:rsid w:val="00594D4B"/>
    <w:rsid w:val="00594DD0"/>
    <w:rsid w:val="0059501C"/>
    <w:rsid w:val="005957C3"/>
    <w:rsid w:val="00595878"/>
    <w:rsid w:val="00595ABA"/>
    <w:rsid w:val="00596039"/>
    <w:rsid w:val="0059619D"/>
    <w:rsid w:val="00596B2E"/>
    <w:rsid w:val="00596F62"/>
    <w:rsid w:val="00596FEA"/>
    <w:rsid w:val="00597326"/>
    <w:rsid w:val="005977C2"/>
    <w:rsid w:val="00597836"/>
    <w:rsid w:val="00597B42"/>
    <w:rsid w:val="00597DDD"/>
    <w:rsid w:val="005A00C2"/>
    <w:rsid w:val="005A03DA"/>
    <w:rsid w:val="005A053D"/>
    <w:rsid w:val="005A09BC"/>
    <w:rsid w:val="005A0F3F"/>
    <w:rsid w:val="005A113C"/>
    <w:rsid w:val="005A14A4"/>
    <w:rsid w:val="005A1DE6"/>
    <w:rsid w:val="005A1FDB"/>
    <w:rsid w:val="005A2163"/>
    <w:rsid w:val="005A2363"/>
    <w:rsid w:val="005A26EA"/>
    <w:rsid w:val="005A28F5"/>
    <w:rsid w:val="005A2DAD"/>
    <w:rsid w:val="005A2E4E"/>
    <w:rsid w:val="005A2F6C"/>
    <w:rsid w:val="005A3925"/>
    <w:rsid w:val="005A3ACF"/>
    <w:rsid w:val="005A3F2E"/>
    <w:rsid w:val="005A4064"/>
    <w:rsid w:val="005A4371"/>
    <w:rsid w:val="005A4505"/>
    <w:rsid w:val="005A485F"/>
    <w:rsid w:val="005A4A51"/>
    <w:rsid w:val="005A5052"/>
    <w:rsid w:val="005A527A"/>
    <w:rsid w:val="005A55DA"/>
    <w:rsid w:val="005A5AA8"/>
    <w:rsid w:val="005A6264"/>
    <w:rsid w:val="005A6984"/>
    <w:rsid w:val="005A698F"/>
    <w:rsid w:val="005A731A"/>
    <w:rsid w:val="005A73CE"/>
    <w:rsid w:val="005A7A9A"/>
    <w:rsid w:val="005B04FA"/>
    <w:rsid w:val="005B06B6"/>
    <w:rsid w:val="005B0891"/>
    <w:rsid w:val="005B13A1"/>
    <w:rsid w:val="005B1533"/>
    <w:rsid w:val="005B1656"/>
    <w:rsid w:val="005B180C"/>
    <w:rsid w:val="005B18C7"/>
    <w:rsid w:val="005B1C13"/>
    <w:rsid w:val="005B255A"/>
    <w:rsid w:val="005B2598"/>
    <w:rsid w:val="005B2F4A"/>
    <w:rsid w:val="005B346A"/>
    <w:rsid w:val="005B34DC"/>
    <w:rsid w:val="005B3879"/>
    <w:rsid w:val="005B3EB4"/>
    <w:rsid w:val="005B3F0E"/>
    <w:rsid w:val="005B4060"/>
    <w:rsid w:val="005B41F6"/>
    <w:rsid w:val="005B49C1"/>
    <w:rsid w:val="005B4EE4"/>
    <w:rsid w:val="005B54F3"/>
    <w:rsid w:val="005B5E61"/>
    <w:rsid w:val="005B614C"/>
    <w:rsid w:val="005B66F1"/>
    <w:rsid w:val="005B6E1F"/>
    <w:rsid w:val="005B724E"/>
    <w:rsid w:val="005B72A2"/>
    <w:rsid w:val="005B7375"/>
    <w:rsid w:val="005B7C8C"/>
    <w:rsid w:val="005B7F6D"/>
    <w:rsid w:val="005C0526"/>
    <w:rsid w:val="005C07E5"/>
    <w:rsid w:val="005C14D5"/>
    <w:rsid w:val="005C18C3"/>
    <w:rsid w:val="005C2080"/>
    <w:rsid w:val="005C22DD"/>
    <w:rsid w:val="005C2841"/>
    <w:rsid w:val="005C2892"/>
    <w:rsid w:val="005C2B27"/>
    <w:rsid w:val="005C2C5A"/>
    <w:rsid w:val="005C30CA"/>
    <w:rsid w:val="005C3114"/>
    <w:rsid w:val="005C320A"/>
    <w:rsid w:val="005C3BEA"/>
    <w:rsid w:val="005C3C42"/>
    <w:rsid w:val="005C3FE8"/>
    <w:rsid w:val="005C550F"/>
    <w:rsid w:val="005C57C9"/>
    <w:rsid w:val="005C5DD9"/>
    <w:rsid w:val="005C5E84"/>
    <w:rsid w:val="005C632E"/>
    <w:rsid w:val="005C6653"/>
    <w:rsid w:val="005C69AF"/>
    <w:rsid w:val="005C6BFB"/>
    <w:rsid w:val="005C6D33"/>
    <w:rsid w:val="005C7B36"/>
    <w:rsid w:val="005C7C1B"/>
    <w:rsid w:val="005C7C53"/>
    <w:rsid w:val="005D0A3C"/>
    <w:rsid w:val="005D0F78"/>
    <w:rsid w:val="005D11E0"/>
    <w:rsid w:val="005D157E"/>
    <w:rsid w:val="005D1F8C"/>
    <w:rsid w:val="005D1FF2"/>
    <w:rsid w:val="005D2621"/>
    <w:rsid w:val="005D2783"/>
    <w:rsid w:val="005D28A8"/>
    <w:rsid w:val="005D3460"/>
    <w:rsid w:val="005D3A83"/>
    <w:rsid w:val="005D3CC8"/>
    <w:rsid w:val="005D406A"/>
    <w:rsid w:val="005D454F"/>
    <w:rsid w:val="005D45F9"/>
    <w:rsid w:val="005D5174"/>
    <w:rsid w:val="005D5703"/>
    <w:rsid w:val="005D5857"/>
    <w:rsid w:val="005D585D"/>
    <w:rsid w:val="005D5CFF"/>
    <w:rsid w:val="005D5DB0"/>
    <w:rsid w:val="005D64EC"/>
    <w:rsid w:val="005D6602"/>
    <w:rsid w:val="005D6B9A"/>
    <w:rsid w:val="005D6EDD"/>
    <w:rsid w:val="005D711C"/>
    <w:rsid w:val="005D7534"/>
    <w:rsid w:val="005D766E"/>
    <w:rsid w:val="005E0168"/>
    <w:rsid w:val="005E0205"/>
    <w:rsid w:val="005E06D1"/>
    <w:rsid w:val="005E1303"/>
    <w:rsid w:val="005E149A"/>
    <w:rsid w:val="005E16CC"/>
    <w:rsid w:val="005E19AC"/>
    <w:rsid w:val="005E20A4"/>
    <w:rsid w:val="005E214E"/>
    <w:rsid w:val="005E29D5"/>
    <w:rsid w:val="005E2B8C"/>
    <w:rsid w:val="005E2CA3"/>
    <w:rsid w:val="005E31A0"/>
    <w:rsid w:val="005E3B45"/>
    <w:rsid w:val="005E3F3C"/>
    <w:rsid w:val="005E4084"/>
    <w:rsid w:val="005E4124"/>
    <w:rsid w:val="005E4A77"/>
    <w:rsid w:val="005E4E22"/>
    <w:rsid w:val="005E4F54"/>
    <w:rsid w:val="005E52AE"/>
    <w:rsid w:val="005E5401"/>
    <w:rsid w:val="005E586E"/>
    <w:rsid w:val="005E5A82"/>
    <w:rsid w:val="005E6212"/>
    <w:rsid w:val="005E635B"/>
    <w:rsid w:val="005E67AA"/>
    <w:rsid w:val="005E6C1A"/>
    <w:rsid w:val="005E7039"/>
    <w:rsid w:val="005E7099"/>
    <w:rsid w:val="005E7135"/>
    <w:rsid w:val="005E72FE"/>
    <w:rsid w:val="005E79A9"/>
    <w:rsid w:val="005F033C"/>
    <w:rsid w:val="005F05E0"/>
    <w:rsid w:val="005F0A40"/>
    <w:rsid w:val="005F1183"/>
    <w:rsid w:val="005F124D"/>
    <w:rsid w:val="005F135E"/>
    <w:rsid w:val="005F174E"/>
    <w:rsid w:val="005F203F"/>
    <w:rsid w:val="005F2089"/>
    <w:rsid w:val="005F249F"/>
    <w:rsid w:val="005F2500"/>
    <w:rsid w:val="005F2867"/>
    <w:rsid w:val="005F2B37"/>
    <w:rsid w:val="005F2C32"/>
    <w:rsid w:val="005F2EB8"/>
    <w:rsid w:val="005F3299"/>
    <w:rsid w:val="005F347A"/>
    <w:rsid w:val="005F3513"/>
    <w:rsid w:val="005F3D90"/>
    <w:rsid w:val="005F4E8B"/>
    <w:rsid w:val="005F5248"/>
    <w:rsid w:val="005F640D"/>
    <w:rsid w:val="005F6657"/>
    <w:rsid w:val="005F66B6"/>
    <w:rsid w:val="005F68C4"/>
    <w:rsid w:val="005F7879"/>
    <w:rsid w:val="005F79CF"/>
    <w:rsid w:val="006000F3"/>
    <w:rsid w:val="006004BF"/>
    <w:rsid w:val="00600D93"/>
    <w:rsid w:val="00600E5A"/>
    <w:rsid w:val="00601221"/>
    <w:rsid w:val="0060158C"/>
    <w:rsid w:val="006016ED"/>
    <w:rsid w:val="00601772"/>
    <w:rsid w:val="00602C34"/>
    <w:rsid w:val="00602CC8"/>
    <w:rsid w:val="00602D82"/>
    <w:rsid w:val="006030C8"/>
    <w:rsid w:val="006036CA"/>
    <w:rsid w:val="00603B02"/>
    <w:rsid w:val="00603F8C"/>
    <w:rsid w:val="00604698"/>
    <w:rsid w:val="00604722"/>
    <w:rsid w:val="006047C0"/>
    <w:rsid w:val="0060485D"/>
    <w:rsid w:val="00604B1B"/>
    <w:rsid w:val="00604B35"/>
    <w:rsid w:val="00604D66"/>
    <w:rsid w:val="00604E4C"/>
    <w:rsid w:val="00605141"/>
    <w:rsid w:val="006051FC"/>
    <w:rsid w:val="00605717"/>
    <w:rsid w:val="00605774"/>
    <w:rsid w:val="00605C53"/>
    <w:rsid w:val="006060D9"/>
    <w:rsid w:val="00607CBB"/>
    <w:rsid w:val="0061015F"/>
    <w:rsid w:val="006104FD"/>
    <w:rsid w:val="00610B81"/>
    <w:rsid w:val="00611461"/>
    <w:rsid w:val="00611660"/>
    <w:rsid w:val="0061181C"/>
    <w:rsid w:val="00611970"/>
    <w:rsid w:val="00611A16"/>
    <w:rsid w:val="00611EA2"/>
    <w:rsid w:val="00611FF8"/>
    <w:rsid w:val="0061255A"/>
    <w:rsid w:val="0061286E"/>
    <w:rsid w:val="00612B4A"/>
    <w:rsid w:val="00612B77"/>
    <w:rsid w:val="00612DB4"/>
    <w:rsid w:val="00612F52"/>
    <w:rsid w:val="0061313E"/>
    <w:rsid w:val="00614471"/>
    <w:rsid w:val="00614549"/>
    <w:rsid w:val="00615176"/>
    <w:rsid w:val="006153FD"/>
    <w:rsid w:val="00615710"/>
    <w:rsid w:val="006158C8"/>
    <w:rsid w:val="00615E95"/>
    <w:rsid w:val="00616108"/>
    <w:rsid w:val="006162F2"/>
    <w:rsid w:val="0061655C"/>
    <w:rsid w:val="00616566"/>
    <w:rsid w:val="0061689A"/>
    <w:rsid w:val="00616941"/>
    <w:rsid w:val="006170E6"/>
    <w:rsid w:val="006173DF"/>
    <w:rsid w:val="00617865"/>
    <w:rsid w:val="00617E59"/>
    <w:rsid w:val="006205FF"/>
    <w:rsid w:val="006207DD"/>
    <w:rsid w:val="00620889"/>
    <w:rsid w:val="00620ED7"/>
    <w:rsid w:val="006215DB"/>
    <w:rsid w:val="00621CC9"/>
    <w:rsid w:val="00622396"/>
    <w:rsid w:val="006226F0"/>
    <w:rsid w:val="006229D9"/>
    <w:rsid w:val="00622D29"/>
    <w:rsid w:val="006231F4"/>
    <w:rsid w:val="00623999"/>
    <w:rsid w:val="00623A09"/>
    <w:rsid w:val="00623D37"/>
    <w:rsid w:val="00623E6F"/>
    <w:rsid w:val="00624D33"/>
    <w:rsid w:val="0062512C"/>
    <w:rsid w:val="00625613"/>
    <w:rsid w:val="00625903"/>
    <w:rsid w:val="00625A48"/>
    <w:rsid w:val="00625E27"/>
    <w:rsid w:val="00625EE4"/>
    <w:rsid w:val="006267BA"/>
    <w:rsid w:val="0062681E"/>
    <w:rsid w:val="00626A63"/>
    <w:rsid w:val="00626AB1"/>
    <w:rsid w:val="00626C2F"/>
    <w:rsid w:val="00627333"/>
    <w:rsid w:val="0062738C"/>
    <w:rsid w:val="00627647"/>
    <w:rsid w:val="00627CB7"/>
    <w:rsid w:val="006306D4"/>
    <w:rsid w:val="00631399"/>
    <w:rsid w:val="00631519"/>
    <w:rsid w:val="00631558"/>
    <w:rsid w:val="00631771"/>
    <w:rsid w:val="00631809"/>
    <w:rsid w:val="00631A6B"/>
    <w:rsid w:val="00632046"/>
    <w:rsid w:val="0063311A"/>
    <w:rsid w:val="0063372D"/>
    <w:rsid w:val="0063451D"/>
    <w:rsid w:val="00634912"/>
    <w:rsid w:val="00634DFB"/>
    <w:rsid w:val="0063513B"/>
    <w:rsid w:val="0063561E"/>
    <w:rsid w:val="00635EF5"/>
    <w:rsid w:val="00635F9E"/>
    <w:rsid w:val="00635FAF"/>
    <w:rsid w:val="0063605F"/>
    <w:rsid w:val="00636A81"/>
    <w:rsid w:val="00636EA9"/>
    <w:rsid w:val="00636F0B"/>
    <w:rsid w:val="00637184"/>
    <w:rsid w:val="0063727A"/>
    <w:rsid w:val="0063742F"/>
    <w:rsid w:val="00637FE5"/>
    <w:rsid w:val="006403BF"/>
    <w:rsid w:val="006403E1"/>
    <w:rsid w:val="00640CE0"/>
    <w:rsid w:val="00640FE5"/>
    <w:rsid w:val="006412DD"/>
    <w:rsid w:val="00641612"/>
    <w:rsid w:val="006417C4"/>
    <w:rsid w:val="006418C3"/>
    <w:rsid w:val="00641987"/>
    <w:rsid w:val="00641A22"/>
    <w:rsid w:val="00641AA1"/>
    <w:rsid w:val="00641B51"/>
    <w:rsid w:val="00641F38"/>
    <w:rsid w:val="00642139"/>
    <w:rsid w:val="006427E1"/>
    <w:rsid w:val="00642A6B"/>
    <w:rsid w:val="00643150"/>
    <w:rsid w:val="00643288"/>
    <w:rsid w:val="00643D5D"/>
    <w:rsid w:val="00644393"/>
    <w:rsid w:val="006448C3"/>
    <w:rsid w:val="00645FE4"/>
    <w:rsid w:val="006461A9"/>
    <w:rsid w:val="0064635B"/>
    <w:rsid w:val="00646448"/>
    <w:rsid w:val="00646C99"/>
    <w:rsid w:val="00646DDB"/>
    <w:rsid w:val="00646E31"/>
    <w:rsid w:val="00647185"/>
    <w:rsid w:val="006472C6"/>
    <w:rsid w:val="0064740A"/>
    <w:rsid w:val="00647492"/>
    <w:rsid w:val="0064773A"/>
    <w:rsid w:val="00647963"/>
    <w:rsid w:val="00647972"/>
    <w:rsid w:val="006479E6"/>
    <w:rsid w:val="0065004C"/>
    <w:rsid w:val="00650A58"/>
    <w:rsid w:val="00650FFC"/>
    <w:rsid w:val="00651D9A"/>
    <w:rsid w:val="00651E84"/>
    <w:rsid w:val="00651E8D"/>
    <w:rsid w:val="00651FBC"/>
    <w:rsid w:val="00652C4A"/>
    <w:rsid w:val="0065337C"/>
    <w:rsid w:val="00653B23"/>
    <w:rsid w:val="00653B4B"/>
    <w:rsid w:val="00653CA5"/>
    <w:rsid w:val="00653EA9"/>
    <w:rsid w:val="006542B5"/>
    <w:rsid w:val="006543E9"/>
    <w:rsid w:val="0065475C"/>
    <w:rsid w:val="0065475D"/>
    <w:rsid w:val="00654899"/>
    <w:rsid w:val="006548A7"/>
    <w:rsid w:val="00654A88"/>
    <w:rsid w:val="00654D6B"/>
    <w:rsid w:val="00654D90"/>
    <w:rsid w:val="00654E5E"/>
    <w:rsid w:val="006554ED"/>
    <w:rsid w:val="006558BE"/>
    <w:rsid w:val="006559EA"/>
    <w:rsid w:val="00655FB7"/>
    <w:rsid w:val="00656262"/>
    <w:rsid w:val="006572CB"/>
    <w:rsid w:val="00657400"/>
    <w:rsid w:val="00657514"/>
    <w:rsid w:val="00657788"/>
    <w:rsid w:val="00657933"/>
    <w:rsid w:val="006579CD"/>
    <w:rsid w:val="00657C70"/>
    <w:rsid w:val="00660211"/>
    <w:rsid w:val="00660488"/>
    <w:rsid w:val="00660A75"/>
    <w:rsid w:val="00660AE9"/>
    <w:rsid w:val="00661171"/>
    <w:rsid w:val="00661D2A"/>
    <w:rsid w:val="00661F8B"/>
    <w:rsid w:val="006626E8"/>
    <w:rsid w:val="00662BBE"/>
    <w:rsid w:val="00662DF0"/>
    <w:rsid w:val="0066302B"/>
    <w:rsid w:val="00663090"/>
    <w:rsid w:val="00663E1E"/>
    <w:rsid w:val="00664EFC"/>
    <w:rsid w:val="006657FB"/>
    <w:rsid w:val="00666025"/>
    <w:rsid w:val="006662D6"/>
    <w:rsid w:val="0066678F"/>
    <w:rsid w:val="006672E3"/>
    <w:rsid w:val="006674FD"/>
    <w:rsid w:val="00667C93"/>
    <w:rsid w:val="00667D21"/>
    <w:rsid w:val="00667DD7"/>
    <w:rsid w:val="00667F55"/>
    <w:rsid w:val="006707BE"/>
    <w:rsid w:val="0067080F"/>
    <w:rsid w:val="00670A9B"/>
    <w:rsid w:val="00670D32"/>
    <w:rsid w:val="00670E11"/>
    <w:rsid w:val="0067159B"/>
    <w:rsid w:val="0067165F"/>
    <w:rsid w:val="006718FB"/>
    <w:rsid w:val="00671942"/>
    <w:rsid w:val="00671EF3"/>
    <w:rsid w:val="00672339"/>
    <w:rsid w:val="0067267D"/>
    <w:rsid w:val="00672A41"/>
    <w:rsid w:val="00672EE6"/>
    <w:rsid w:val="00673071"/>
    <w:rsid w:val="00673359"/>
    <w:rsid w:val="0067459F"/>
    <w:rsid w:val="00674CF9"/>
    <w:rsid w:val="00674EAE"/>
    <w:rsid w:val="00674ECF"/>
    <w:rsid w:val="006753C3"/>
    <w:rsid w:val="006753D6"/>
    <w:rsid w:val="00675BD4"/>
    <w:rsid w:val="00675CC3"/>
    <w:rsid w:val="00675CD0"/>
    <w:rsid w:val="006763A5"/>
    <w:rsid w:val="0067657F"/>
    <w:rsid w:val="006768EA"/>
    <w:rsid w:val="00676993"/>
    <w:rsid w:val="00676F40"/>
    <w:rsid w:val="0067731B"/>
    <w:rsid w:val="00677490"/>
    <w:rsid w:val="00677B5B"/>
    <w:rsid w:val="00677DBD"/>
    <w:rsid w:val="006803AC"/>
    <w:rsid w:val="006805B7"/>
    <w:rsid w:val="006809E5"/>
    <w:rsid w:val="00681287"/>
    <w:rsid w:val="0068141B"/>
    <w:rsid w:val="00681A8D"/>
    <w:rsid w:val="00681E65"/>
    <w:rsid w:val="00681EBD"/>
    <w:rsid w:val="006821B8"/>
    <w:rsid w:val="006826E2"/>
    <w:rsid w:val="006829DC"/>
    <w:rsid w:val="00682B72"/>
    <w:rsid w:val="00682D65"/>
    <w:rsid w:val="00682F6B"/>
    <w:rsid w:val="00683015"/>
    <w:rsid w:val="00683721"/>
    <w:rsid w:val="00683AD6"/>
    <w:rsid w:val="0068483E"/>
    <w:rsid w:val="006852AC"/>
    <w:rsid w:val="00685403"/>
    <w:rsid w:val="006858AF"/>
    <w:rsid w:val="00685A94"/>
    <w:rsid w:val="0068632D"/>
    <w:rsid w:val="0068634D"/>
    <w:rsid w:val="006864D9"/>
    <w:rsid w:val="00686C1E"/>
    <w:rsid w:val="00686C5D"/>
    <w:rsid w:val="00686C77"/>
    <w:rsid w:val="00686F7F"/>
    <w:rsid w:val="00687147"/>
    <w:rsid w:val="006871F8"/>
    <w:rsid w:val="00687425"/>
    <w:rsid w:val="00687BEE"/>
    <w:rsid w:val="00687CE1"/>
    <w:rsid w:val="00687DC8"/>
    <w:rsid w:val="0069052B"/>
    <w:rsid w:val="0069084D"/>
    <w:rsid w:val="00690965"/>
    <w:rsid w:val="00691061"/>
    <w:rsid w:val="00691116"/>
    <w:rsid w:val="00691695"/>
    <w:rsid w:val="00691E28"/>
    <w:rsid w:val="00692105"/>
    <w:rsid w:val="0069258E"/>
    <w:rsid w:val="00692837"/>
    <w:rsid w:val="00692D5C"/>
    <w:rsid w:val="006937B9"/>
    <w:rsid w:val="00693B66"/>
    <w:rsid w:val="006940D0"/>
    <w:rsid w:val="006943A5"/>
    <w:rsid w:val="00694D9C"/>
    <w:rsid w:val="00694E46"/>
    <w:rsid w:val="00694EB1"/>
    <w:rsid w:val="00694F45"/>
    <w:rsid w:val="00695837"/>
    <w:rsid w:val="00695B4F"/>
    <w:rsid w:val="00695C77"/>
    <w:rsid w:val="00695C92"/>
    <w:rsid w:val="0069673F"/>
    <w:rsid w:val="00696775"/>
    <w:rsid w:val="006967DE"/>
    <w:rsid w:val="006978DC"/>
    <w:rsid w:val="006A0192"/>
    <w:rsid w:val="006A02CF"/>
    <w:rsid w:val="006A106B"/>
    <w:rsid w:val="006A1089"/>
    <w:rsid w:val="006A174B"/>
    <w:rsid w:val="006A1868"/>
    <w:rsid w:val="006A195C"/>
    <w:rsid w:val="006A1D2A"/>
    <w:rsid w:val="006A1D3E"/>
    <w:rsid w:val="006A1DA4"/>
    <w:rsid w:val="006A20C7"/>
    <w:rsid w:val="006A25E4"/>
    <w:rsid w:val="006A29A5"/>
    <w:rsid w:val="006A2A58"/>
    <w:rsid w:val="006A2B11"/>
    <w:rsid w:val="006A2B6A"/>
    <w:rsid w:val="006A2C2F"/>
    <w:rsid w:val="006A3355"/>
    <w:rsid w:val="006A4029"/>
    <w:rsid w:val="006A4112"/>
    <w:rsid w:val="006A4360"/>
    <w:rsid w:val="006A457E"/>
    <w:rsid w:val="006A4E27"/>
    <w:rsid w:val="006A5006"/>
    <w:rsid w:val="006A56C9"/>
    <w:rsid w:val="006A5876"/>
    <w:rsid w:val="006A604F"/>
    <w:rsid w:val="006A6858"/>
    <w:rsid w:val="006A688A"/>
    <w:rsid w:val="006A6CF1"/>
    <w:rsid w:val="006A6E99"/>
    <w:rsid w:val="006A6F86"/>
    <w:rsid w:val="006A7487"/>
    <w:rsid w:val="006A75AA"/>
    <w:rsid w:val="006A793C"/>
    <w:rsid w:val="006A7978"/>
    <w:rsid w:val="006A7DB7"/>
    <w:rsid w:val="006B0050"/>
    <w:rsid w:val="006B05CB"/>
    <w:rsid w:val="006B1F20"/>
    <w:rsid w:val="006B2479"/>
    <w:rsid w:val="006B25B0"/>
    <w:rsid w:val="006B2A98"/>
    <w:rsid w:val="006B30BE"/>
    <w:rsid w:val="006B3247"/>
    <w:rsid w:val="006B3CD7"/>
    <w:rsid w:val="006B44E9"/>
    <w:rsid w:val="006B49AF"/>
    <w:rsid w:val="006B4B8C"/>
    <w:rsid w:val="006B51B6"/>
    <w:rsid w:val="006B5BB3"/>
    <w:rsid w:val="006B65E2"/>
    <w:rsid w:val="006B730A"/>
    <w:rsid w:val="006B76DA"/>
    <w:rsid w:val="006B78A4"/>
    <w:rsid w:val="006C0442"/>
    <w:rsid w:val="006C048C"/>
    <w:rsid w:val="006C0540"/>
    <w:rsid w:val="006C055E"/>
    <w:rsid w:val="006C0687"/>
    <w:rsid w:val="006C0CC3"/>
    <w:rsid w:val="006C15F4"/>
    <w:rsid w:val="006C16D1"/>
    <w:rsid w:val="006C176F"/>
    <w:rsid w:val="006C1878"/>
    <w:rsid w:val="006C1ED1"/>
    <w:rsid w:val="006C298F"/>
    <w:rsid w:val="006C29D3"/>
    <w:rsid w:val="006C2B86"/>
    <w:rsid w:val="006C2FB9"/>
    <w:rsid w:val="006C39D3"/>
    <w:rsid w:val="006C3E7B"/>
    <w:rsid w:val="006C440D"/>
    <w:rsid w:val="006C45C7"/>
    <w:rsid w:val="006C48EB"/>
    <w:rsid w:val="006C4D0C"/>
    <w:rsid w:val="006C4DB7"/>
    <w:rsid w:val="006C4DBA"/>
    <w:rsid w:val="006C527F"/>
    <w:rsid w:val="006C634D"/>
    <w:rsid w:val="006C6482"/>
    <w:rsid w:val="006C695F"/>
    <w:rsid w:val="006C7C7A"/>
    <w:rsid w:val="006C7CE6"/>
    <w:rsid w:val="006D02EE"/>
    <w:rsid w:val="006D0CC4"/>
    <w:rsid w:val="006D0E25"/>
    <w:rsid w:val="006D1694"/>
    <w:rsid w:val="006D16AE"/>
    <w:rsid w:val="006D195C"/>
    <w:rsid w:val="006D2397"/>
    <w:rsid w:val="006D2681"/>
    <w:rsid w:val="006D2757"/>
    <w:rsid w:val="006D2F45"/>
    <w:rsid w:val="006D32B0"/>
    <w:rsid w:val="006D3639"/>
    <w:rsid w:val="006D3B3F"/>
    <w:rsid w:val="006D4026"/>
    <w:rsid w:val="006D4664"/>
    <w:rsid w:val="006D4A6B"/>
    <w:rsid w:val="006D4B0E"/>
    <w:rsid w:val="006D5058"/>
    <w:rsid w:val="006D5643"/>
    <w:rsid w:val="006D56C0"/>
    <w:rsid w:val="006D5859"/>
    <w:rsid w:val="006D618F"/>
    <w:rsid w:val="006D7049"/>
    <w:rsid w:val="006D724C"/>
    <w:rsid w:val="006D7823"/>
    <w:rsid w:val="006D7857"/>
    <w:rsid w:val="006D7F96"/>
    <w:rsid w:val="006E097C"/>
    <w:rsid w:val="006E0AC6"/>
    <w:rsid w:val="006E1623"/>
    <w:rsid w:val="006E172F"/>
    <w:rsid w:val="006E1DE4"/>
    <w:rsid w:val="006E2017"/>
    <w:rsid w:val="006E20DE"/>
    <w:rsid w:val="006E2252"/>
    <w:rsid w:val="006E226F"/>
    <w:rsid w:val="006E2392"/>
    <w:rsid w:val="006E2434"/>
    <w:rsid w:val="006E3180"/>
    <w:rsid w:val="006E4521"/>
    <w:rsid w:val="006E4908"/>
    <w:rsid w:val="006E4B35"/>
    <w:rsid w:val="006E5447"/>
    <w:rsid w:val="006E5A11"/>
    <w:rsid w:val="006E65EC"/>
    <w:rsid w:val="006E68A1"/>
    <w:rsid w:val="006E6A07"/>
    <w:rsid w:val="006E6A79"/>
    <w:rsid w:val="006E7526"/>
    <w:rsid w:val="006E7FEA"/>
    <w:rsid w:val="006F0DEF"/>
    <w:rsid w:val="006F0EED"/>
    <w:rsid w:val="006F12B9"/>
    <w:rsid w:val="006F194C"/>
    <w:rsid w:val="006F1AD1"/>
    <w:rsid w:val="006F1BE4"/>
    <w:rsid w:val="006F29DF"/>
    <w:rsid w:val="006F2DAF"/>
    <w:rsid w:val="006F3298"/>
    <w:rsid w:val="006F352D"/>
    <w:rsid w:val="006F382E"/>
    <w:rsid w:val="006F3A9E"/>
    <w:rsid w:val="006F3D48"/>
    <w:rsid w:val="006F43AA"/>
    <w:rsid w:val="006F4452"/>
    <w:rsid w:val="006F4821"/>
    <w:rsid w:val="006F4C72"/>
    <w:rsid w:val="006F50AE"/>
    <w:rsid w:val="006F530D"/>
    <w:rsid w:val="006F54CC"/>
    <w:rsid w:val="006F5606"/>
    <w:rsid w:val="006F5836"/>
    <w:rsid w:val="006F5892"/>
    <w:rsid w:val="006F5961"/>
    <w:rsid w:val="006F5A6A"/>
    <w:rsid w:val="006F5C08"/>
    <w:rsid w:val="006F5DA5"/>
    <w:rsid w:val="006F5ED5"/>
    <w:rsid w:val="006F6001"/>
    <w:rsid w:val="006F62D2"/>
    <w:rsid w:val="006F6973"/>
    <w:rsid w:val="006F6A0F"/>
    <w:rsid w:val="006F6E23"/>
    <w:rsid w:val="006F701F"/>
    <w:rsid w:val="006F72EE"/>
    <w:rsid w:val="006F7B2F"/>
    <w:rsid w:val="006F7C4D"/>
    <w:rsid w:val="00700FF1"/>
    <w:rsid w:val="007013DF"/>
    <w:rsid w:val="007023E1"/>
    <w:rsid w:val="00702730"/>
    <w:rsid w:val="00702960"/>
    <w:rsid w:val="00702ADA"/>
    <w:rsid w:val="00703767"/>
    <w:rsid w:val="007038EE"/>
    <w:rsid w:val="00703D2E"/>
    <w:rsid w:val="00703FCE"/>
    <w:rsid w:val="00704038"/>
    <w:rsid w:val="007044CA"/>
    <w:rsid w:val="00704781"/>
    <w:rsid w:val="00704C28"/>
    <w:rsid w:val="00704FED"/>
    <w:rsid w:val="00705308"/>
    <w:rsid w:val="00705BF1"/>
    <w:rsid w:val="0070633C"/>
    <w:rsid w:val="0070661C"/>
    <w:rsid w:val="00706A36"/>
    <w:rsid w:val="00706B62"/>
    <w:rsid w:val="00706F5A"/>
    <w:rsid w:val="00706F82"/>
    <w:rsid w:val="007070A2"/>
    <w:rsid w:val="007076B0"/>
    <w:rsid w:val="007079EF"/>
    <w:rsid w:val="00707B27"/>
    <w:rsid w:val="00707B55"/>
    <w:rsid w:val="00707BE3"/>
    <w:rsid w:val="00707D53"/>
    <w:rsid w:val="00707F7A"/>
    <w:rsid w:val="007100D2"/>
    <w:rsid w:val="00710674"/>
    <w:rsid w:val="00710731"/>
    <w:rsid w:val="00710F6F"/>
    <w:rsid w:val="00710F7B"/>
    <w:rsid w:val="00711399"/>
    <w:rsid w:val="0071147F"/>
    <w:rsid w:val="007114C4"/>
    <w:rsid w:val="00711BF6"/>
    <w:rsid w:val="0071205E"/>
    <w:rsid w:val="0071268A"/>
    <w:rsid w:val="00712A8D"/>
    <w:rsid w:val="00713890"/>
    <w:rsid w:val="0071397E"/>
    <w:rsid w:val="00713A03"/>
    <w:rsid w:val="00714B79"/>
    <w:rsid w:val="00714D4B"/>
    <w:rsid w:val="00714F2C"/>
    <w:rsid w:val="00715009"/>
    <w:rsid w:val="0071507D"/>
    <w:rsid w:val="0071512F"/>
    <w:rsid w:val="00715CAA"/>
    <w:rsid w:val="00716231"/>
    <w:rsid w:val="00716A3E"/>
    <w:rsid w:val="00716D9E"/>
    <w:rsid w:val="0071756C"/>
    <w:rsid w:val="007178C0"/>
    <w:rsid w:val="00720B51"/>
    <w:rsid w:val="00720F4E"/>
    <w:rsid w:val="007212EA"/>
    <w:rsid w:val="007215DF"/>
    <w:rsid w:val="007218D5"/>
    <w:rsid w:val="00721D6A"/>
    <w:rsid w:val="007220DE"/>
    <w:rsid w:val="0072217D"/>
    <w:rsid w:val="00722244"/>
    <w:rsid w:val="00722D90"/>
    <w:rsid w:val="00723034"/>
    <w:rsid w:val="00723561"/>
    <w:rsid w:val="00723F94"/>
    <w:rsid w:val="007240F6"/>
    <w:rsid w:val="0072491A"/>
    <w:rsid w:val="00725B1B"/>
    <w:rsid w:val="00725F57"/>
    <w:rsid w:val="00726CB3"/>
    <w:rsid w:val="007272B8"/>
    <w:rsid w:val="00727C77"/>
    <w:rsid w:val="00727EB3"/>
    <w:rsid w:val="00730123"/>
    <w:rsid w:val="0073029A"/>
    <w:rsid w:val="007302C3"/>
    <w:rsid w:val="007309D2"/>
    <w:rsid w:val="00730B61"/>
    <w:rsid w:val="0073104C"/>
    <w:rsid w:val="00731EB8"/>
    <w:rsid w:val="007329C5"/>
    <w:rsid w:val="007332CA"/>
    <w:rsid w:val="0073359C"/>
    <w:rsid w:val="007338C0"/>
    <w:rsid w:val="00733AFC"/>
    <w:rsid w:val="00733EC2"/>
    <w:rsid w:val="0073421B"/>
    <w:rsid w:val="00734585"/>
    <w:rsid w:val="00734653"/>
    <w:rsid w:val="00734828"/>
    <w:rsid w:val="00734F44"/>
    <w:rsid w:val="0073564A"/>
    <w:rsid w:val="00736FD6"/>
    <w:rsid w:val="007371C3"/>
    <w:rsid w:val="00737832"/>
    <w:rsid w:val="00737F30"/>
    <w:rsid w:val="00737F80"/>
    <w:rsid w:val="00737FB7"/>
    <w:rsid w:val="00740101"/>
    <w:rsid w:val="0074027E"/>
    <w:rsid w:val="00740B3E"/>
    <w:rsid w:val="00740B63"/>
    <w:rsid w:val="00740B87"/>
    <w:rsid w:val="00740D82"/>
    <w:rsid w:val="00740E2A"/>
    <w:rsid w:val="00740E6F"/>
    <w:rsid w:val="00741520"/>
    <w:rsid w:val="00741A91"/>
    <w:rsid w:val="00741F17"/>
    <w:rsid w:val="00741F94"/>
    <w:rsid w:val="007422EA"/>
    <w:rsid w:val="0074241C"/>
    <w:rsid w:val="007425EA"/>
    <w:rsid w:val="00742642"/>
    <w:rsid w:val="00742669"/>
    <w:rsid w:val="007427A9"/>
    <w:rsid w:val="00742A36"/>
    <w:rsid w:val="00742BFC"/>
    <w:rsid w:val="00742EF8"/>
    <w:rsid w:val="0074329E"/>
    <w:rsid w:val="0074332A"/>
    <w:rsid w:val="007435D9"/>
    <w:rsid w:val="007436F0"/>
    <w:rsid w:val="00743725"/>
    <w:rsid w:val="00743742"/>
    <w:rsid w:val="0074376A"/>
    <w:rsid w:val="00743845"/>
    <w:rsid w:val="007441D2"/>
    <w:rsid w:val="007449A5"/>
    <w:rsid w:val="00744B31"/>
    <w:rsid w:val="0074519C"/>
    <w:rsid w:val="007454F7"/>
    <w:rsid w:val="00745E3B"/>
    <w:rsid w:val="00746942"/>
    <w:rsid w:val="00746EB9"/>
    <w:rsid w:val="00746FB1"/>
    <w:rsid w:val="0074725A"/>
    <w:rsid w:val="007474D7"/>
    <w:rsid w:val="007479E7"/>
    <w:rsid w:val="00747E2E"/>
    <w:rsid w:val="007504F4"/>
    <w:rsid w:val="00750C0B"/>
    <w:rsid w:val="00750C39"/>
    <w:rsid w:val="007510BA"/>
    <w:rsid w:val="00751659"/>
    <w:rsid w:val="00751A56"/>
    <w:rsid w:val="00751EEC"/>
    <w:rsid w:val="00752518"/>
    <w:rsid w:val="00752929"/>
    <w:rsid w:val="00752C20"/>
    <w:rsid w:val="00752CA1"/>
    <w:rsid w:val="00752CA3"/>
    <w:rsid w:val="00752E08"/>
    <w:rsid w:val="00752F86"/>
    <w:rsid w:val="00753E78"/>
    <w:rsid w:val="0075405F"/>
    <w:rsid w:val="0075447C"/>
    <w:rsid w:val="00754C41"/>
    <w:rsid w:val="00754D64"/>
    <w:rsid w:val="00754E06"/>
    <w:rsid w:val="00755796"/>
    <w:rsid w:val="007562DE"/>
    <w:rsid w:val="007566BD"/>
    <w:rsid w:val="007568DC"/>
    <w:rsid w:val="00756C57"/>
    <w:rsid w:val="00756E66"/>
    <w:rsid w:val="00756F91"/>
    <w:rsid w:val="0075715D"/>
    <w:rsid w:val="00757547"/>
    <w:rsid w:val="0075773B"/>
    <w:rsid w:val="00757753"/>
    <w:rsid w:val="00757970"/>
    <w:rsid w:val="00757C61"/>
    <w:rsid w:val="00760203"/>
    <w:rsid w:val="007612F0"/>
    <w:rsid w:val="0076219D"/>
    <w:rsid w:val="00762FD1"/>
    <w:rsid w:val="007636EC"/>
    <w:rsid w:val="00763AF4"/>
    <w:rsid w:val="00763CF3"/>
    <w:rsid w:val="00763FE6"/>
    <w:rsid w:val="00764109"/>
    <w:rsid w:val="0076436D"/>
    <w:rsid w:val="007643E5"/>
    <w:rsid w:val="00764ACE"/>
    <w:rsid w:val="00765ABF"/>
    <w:rsid w:val="00766091"/>
    <w:rsid w:val="00766162"/>
    <w:rsid w:val="0076622B"/>
    <w:rsid w:val="0076623C"/>
    <w:rsid w:val="007664B5"/>
    <w:rsid w:val="0076668E"/>
    <w:rsid w:val="00766AEC"/>
    <w:rsid w:val="00766C2B"/>
    <w:rsid w:val="00766C96"/>
    <w:rsid w:val="00766DCE"/>
    <w:rsid w:val="00767F0F"/>
    <w:rsid w:val="0077031A"/>
    <w:rsid w:val="00770330"/>
    <w:rsid w:val="0077040B"/>
    <w:rsid w:val="007704C5"/>
    <w:rsid w:val="00770624"/>
    <w:rsid w:val="00770A4B"/>
    <w:rsid w:val="00770BEF"/>
    <w:rsid w:val="00770C33"/>
    <w:rsid w:val="007717EC"/>
    <w:rsid w:val="00771BF4"/>
    <w:rsid w:val="00771C67"/>
    <w:rsid w:val="00771DE6"/>
    <w:rsid w:val="00771E50"/>
    <w:rsid w:val="00772B34"/>
    <w:rsid w:val="0077313D"/>
    <w:rsid w:val="007734B4"/>
    <w:rsid w:val="007734F9"/>
    <w:rsid w:val="0077397C"/>
    <w:rsid w:val="00773C7F"/>
    <w:rsid w:val="00773D3E"/>
    <w:rsid w:val="00773F52"/>
    <w:rsid w:val="007744C9"/>
    <w:rsid w:val="0077491A"/>
    <w:rsid w:val="00775872"/>
    <w:rsid w:val="00775C82"/>
    <w:rsid w:val="00775CF1"/>
    <w:rsid w:val="00775DFB"/>
    <w:rsid w:val="00775FFD"/>
    <w:rsid w:val="0077614B"/>
    <w:rsid w:val="00776904"/>
    <w:rsid w:val="00777617"/>
    <w:rsid w:val="00777DEE"/>
    <w:rsid w:val="0078087E"/>
    <w:rsid w:val="00780FA0"/>
    <w:rsid w:val="007810D6"/>
    <w:rsid w:val="00781CF6"/>
    <w:rsid w:val="0078298C"/>
    <w:rsid w:val="00782A84"/>
    <w:rsid w:val="00782F81"/>
    <w:rsid w:val="00783320"/>
    <w:rsid w:val="00783368"/>
    <w:rsid w:val="007836E0"/>
    <w:rsid w:val="007837AF"/>
    <w:rsid w:val="007837FD"/>
    <w:rsid w:val="00783869"/>
    <w:rsid w:val="00784900"/>
    <w:rsid w:val="00784A93"/>
    <w:rsid w:val="007855D1"/>
    <w:rsid w:val="00786170"/>
    <w:rsid w:val="007861DB"/>
    <w:rsid w:val="0078695C"/>
    <w:rsid w:val="00786D9E"/>
    <w:rsid w:val="007873A0"/>
    <w:rsid w:val="0078750D"/>
    <w:rsid w:val="007876FF"/>
    <w:rsid w:val="00787C31"/>
    <w:rsid w:val="007901F3"/>
    <w:rsid w:val="00790425"/>
    <w:rsid w:val="00790B83"/>
    <w:rsid w:val="00790E45"/>
    <w:rsid w:val="007914E1"/>
    <w:rsid w:val="0079162E"/>
    <w:rsid w:val="007919B0"/>
    <w:rsid w:val="00791E5A"/>
    <w:rsid w:val="00791EC4"/>
    <w:rsid w:val="0079210D"/>
    <w:rsid w:val="007926E8"/>
    <w:rsid w:val="0079287D"/>
    <w:rsid w:val="00792ABA"/>
    <w:rsid w:val="00792ED9"/>
    <w:rsid w:val="007931FE"/>
    <w:rsid w:val="00793303"/>
    <w:rsid w:val="00793729"/>
    <w:rsid w:val="00793C0D"/>
    <w:rsid w:val="0079400E"/>
    <w:rsid w:val="007941A6"/>
    <w:rsid w:val="007943AD"/>
    <w:rsid w:val="00795B95"/>
    <w:rsid w:val="00795E69"/>
    <w:rsid w:val="00796678"/>
    <w:rsid w:val="0079716A"/>
    <w:rsid w:val="007973B8"/>
    <w:rsid w:val="00797871"/>
    <w:rsid w:val="00797A6A"/>
    <w:rsid w:val="00797B2F"/>
    <w:rsid w:val="00797D6E"/>
    <w:rsid w:val="00797F3E"/>
    <w:rsid w:val="007A005E"/>
    <w:rsid w:val="007A023F"/>
    <w:rsid w:val="007A093C"/>
    <w:rsid w:val="007A0EA7"/>
    <w:rsid w:val="007A169F"/>
    <w:rsid w:val="007A19F7"/>
    <w:rsid w:val="007A1C5C"/>
    <w:rsid w:val="007A2513"/>
    <w:rsid w:val="007A26E0"/>
    <w:rsid w:val="007A28FF"/>
    <w:rsid w:val="007A2A79"/>
    <w:rsid w:val="007A2CB1"/>
    <w:rsid w:val="007A30D9"/>
    <w:rsid w:val="007A34A6"/>
    <w:rsid w:val="007A37BF"/>
    <w:rsid w:val="007A3895"/>
    <w:rsid w:val="007A46A7"/>
    <w:rsid w:val="007A4980"/>
    <w:rsid w:val="007A4C3A"/>
    <w:rsid w:val="007A4C52"/>
    <w:rsid w:val="007A4D43"/>
    <w:rsid w:val="007A51EB"/>
    <w:rsid w:val="007A5E1E"/>
    <w:rsid w:val="007A6238"/>
    <w:rsid w:val="007A6383"/>
    <w:rsid w:val="007A6F2A"/>
    <w:rsid w:val="007A7225"/>
    <w:rsid w:val="007A73CB"/>
    <w:rsid w:val="007A7679"/>
    <w:rsid w:val="007A7B25"/>
    <w:rsid w:val="007A7DFB"/>
    <w:rsid w:val="007A7F83"/>
    <w:rsid w:val="007B0D03"/>
    <w:rsid w:val="007B0D78"/>
    <w:rsid w:val="007B0FA5"/>
    <w:rsid w:val="007B134D"/>
    <w:rsid w:val="007B14F2"/>
    <w:rsid w:val="007B166B"/>
    <w:rsid w:val="007B1779"/>
    <w:rsid w:val="007B1A14"/>
    <w:rsid w:val="007B1CEA"/>
    <w:rsid w:val="007B3178"/>
    <w:rsid w:val="007B3369"/>
    <w:rsid w:val="007B3D00"/>
    <w:rsid w:val="007B3D10"/>
    <w:rsid w:val="007B4124"/>
    <w:rsid w:val="007B41FE"/>
    <w:rsid w:val="007B4293"/>
    <w:rsid w:val="007B4996"/>
    <w:rsid w:val="007B4A5C"/>
    <w:rsid w:val="007B4BB4"/>
    <w:rsid w:val="007B4CB7"/>
    <w:rsid w:val="007B4EC3"/>
    <w:rsid w:val="007B53C9"/>
    <w:rsid w:val="007B5A26"/>
    <w:rsid w:val="007B5BC7"/>
    <w:rsid w:val="007B5C73"/>
    <w:rsid w:val="007B5D23"/>
    <w:rsid w:val="007B5D77"/>
    <w:rsid w:val="007B5DC8"/>
    <w:rsid w:val="007B5DD3"/>
    <w:rsid w:val="007B5E44"/>
    <w:rsid w:val="007B5FD2"/>
    <w:rsid w:val="007B6193"/>
    <w:rsid w:val="007B67E7"/>
    <w:rsid w:val="007B6830"/>
    <w:rsid w:val="007B6AB6"/>
    <w:rsid w:val="007B6F69"/>
    <w:rsid w:val="007B705C"/>
    <w:rsid w:val="007B7167"/>
    <w:rsid w:val="007B76D4"/>
    <w:rsid w:val="007B7786"/>
    <w:rsid w:val="007B7964"/>
    <w:rsid w:val="007B7C9D"/>
    <w:rsid w:val="007B7F6E"/>
    <w:rsid w:val="007B7FE4"/>
    <w:rsid w:val="007C00F6"/>
    <w:rsid w:val="007C0566"/>
    <w:rsid w:val="007C0851"/>
    <w:rsid w:val="007C0A83"/>
    <w:rsid w:val="007C119E"/>
    <w:rsid w:val="007C15BA"/>
    <w:rsid w:val="007C1871"/>
    <w:rsid w:val="007C1A23"/>
    <w:rsid w:val="007C1C1B"/>
    <w:rsid w:val="007C1D09"/>
    <w:rsid w:val="007C1ED3"/>
    <w:rsid w:val="007C21CD"/>
    <w:rsid w:val="007C2D31"/>
    <w:rsid w:val="007C3C19"/>
    <w:rsid w:val="007C3D07"/>
    <w:rsid w:val="007C4155"/>
    <w:rsid w:val="007C462B"/>
    <w:rsid w:val="007C48EA"/>
    <w:rsid w:val="007C4B4F"/>
    <w:rsid w:val="007C4EF2"/>
    <w:rsid w:val="007C4FD2"/>
    <w:rsid w:val="007C5128"/>
    <w:rsid w:val="007C5502"/>
    <w:rsid w:val="007C5638"/>
    <w:rsid w:val="007C5750"/>
    <w:rsid w:val="007C58D6"/>
    <w:rsid w:val="007C5D59"/>
    <w:rsid w:val="007C5D97"/>
    <w:rsid w:val="007C6211"/>
    <w:rsid w:val="007C621C"/>
    <w:rsid w:val="007C638E"/>
    <w:rsid w:val="007C6B87"/>
    <w:rsid w:val="007C7EEF"/>
    <w:rsid w:val="007D0663"/>
    <w:rsid w:val="007D092F"/>
    <w:rsid w:val="007D0A50"/>
    <w:rsid w:val="007D1441"/>
    <w:rsid w:val="007D14FD"/>
    <w:rsid w:val="007D1880"/>
    <w:rsid w:val="007D1B40"/>
    <w:rsid w:val="007D1B9D"/>
    <w:rsid w:val="007D1E52"/>
    <w:rsid w:val="007D2BAA"/>
    <w:rsid w:val="007D3508"/>
    <w:rsid w:val="007D384C"/>
    <w:rsid w:val="007D3F94"/>
    <w:rsid w:val="007D4212"/>
    <w:rsid w:val="007D4278"/>
    <w:rsid w:val="007D43BE"/>
    <w:rsid w:val="007D46EA"/>
    <w:rsid w:val="007D46EB"/>
    <w:rsid w:val="007D4B69"/>
    <w:rsid w:val="007D5577"/>
    <w:rsid w:val="007D5EA7"/>
    <w:rsid w:val="007D65D4"/>
    <w:rsid w:val="007D681D"/>
    <w:rsid w:val="007D69DB"/>
    <w:rsid w:val="007D6B35"/>
    <w:rsid w:val="007D6F02"/>
    <w:rsid w:val="007E0308"/>
    <w:rsid w:val="007E0313"/>
    <w:rsid w:val="007E0834"/>
    <w:rsid w:val="007E0989"/>
    <w:rsid w:val="007E0CDD"/>
    <w:rsid w:val="007E0FEF"/>
    <w:rsid w:val="007E1097"/>
    <w:rsid w:val="007E140F"/>
    <w:rsid w:val="007E1960"/>
    <w:rsid w:val="007E1D5C"/>
    <w:rsid w:val="007E23DE"/>
    <w:rsid w:val="007E25C1"/>
    <w:rsid w:val="007E2CD4"/>
    <w:rsid w:val="007E2D72"/>
    <w:rsid w:val="007E35D1"/>
    <w:rsid w:val="007E478C"/>
    <w:rsid w:val="007E4A0B"/>
    <w:rsid w:val="007E4AA6"/>
    <w:rsid w:val="007E4F7D"/>
    <w:rsid w:val="007E55E7"/>
    <w:rsid w:val="007E591D"/>
    <w:rsid w:val="007E5995"/>
    <w:rsid w:val="007E5F95"/>
    <w:rsid w:val="007E6216"/>
    <w:rsid w:val="007E6990"/>
    <w:rsid w:val="007E6FE2"/>
    <w:rsid w:val="007E7388"/>
    <w:rsid w:val="007E7676"/>
    <w:rsid w:val="007E787E"/>
    <w:rsid w:val="007E7932"/>
    <w:rsid w:val="007E7BBC"/>
    <w:rsid w:val="007E7CEF"/>
    <w:rsid w:val="007E7DE6"/>
    <w:rsid w:val="007F00E8"/>
    <w:rsid w:val="007F0160"/>
    <w:rsid w:val="007F1056"/>
    <w:rsid w:val="007F24A6"/>
    <w:rsid w:val="007F2E30"/>
    <w:rsid w:val="007F30A9"/>
    <w:rsid w:val="007F3306"/>
    <w:rsid w:val="007F35A4"/>
    <w:rsid w:val="007F361D"/>
    <w:rsid w:val="007F3A87"/>
    <w:rsid w:val="007F3ABC"/>
    <w:rsid w:val="007F3CEB"/>
    <w:rsid w:val="007F4723"/>
    <w:rsid w:val="007F5189"/>
    <w:rsid w:val="007F5549"/>
    <w:rsid w:val="007F5B19"/>
    <w:rsid w:val="007F5C16"/>
    <w:rsid w:val="007F60DA"/>
    <w:rsid w:val="007F6453"/>
    <w:rsid w:val="007F6D57"/>
    <w:rsid w:val="007F7BFC"/>
    <w:rsid w:val="007F7C5F"/>
    <w:rsid w:val="00800117"/>
    <w:rsid w:val="0080029F"/>
    <w:rsid w:val="00800713"/>
    <w:rsid w:val="0080150F"/>
    <w:rsid w:val="008015C4"/>
    <w:rsid w:val="008018F1"/>
    <w:rsid w:val="00801F7A"/>
    <w:rsid w:val="00802D38"/>
    <w:rsid w:val="00802F4F"/>
    <w:rsid w:val="00803818"/>
    <w:rsid w:val="0080390C"/>
    <w:rsid w:val="00803D7F"/>
    <w:rsid w:val="00803F0F"/>
    <w:rsid w:val="008041DB"/>
    <w:rsid w:val="008046C4"/>
    <w:rsid w:val="008048FA"/>
    <w:rsid w:val="00804B54"/>
    <w:rsid w:val="00805002"/>
    <w:rsid w:val="008056DB"/>
    <w:rsid w:val="00805804"/>
    <w:rsid w:val="00805EF3"/>
    <w:rsid w:val="00805F93"/>
    <w:rsid w:val="0080609E"/>
    <w:rsid w:val="008062FF"/>
    <w:rsid w:val="00806CD7"/>
    <w:rsid w:val="00807606"/>
    <w:rsid w:val="0080796B"/>
    <w:rsid w:val="0081009F"/>
    <w:rsid w:val="00810C43"/>
    <w:rsid w:val="0081127A"/>
    <w:rsid w:val="00811281"/>
    <w:rsid w:val="008116AE"/>
    <w:rsid w:val="00811A14"/>
    <w:rsid w:val="00811C06"/>
    <w:rsid w:val="00811CC9"/>
    <w:rsid w:val="008121DB"/>
    <w:rsid w:val="008122CC"/>
    <w:rsid w:val="00812C5B"/>
    <w:rsid w:val="00812E4B"/>
    <w:rsid w:val="00813313"/>
    <w:rsid w:val="00813564"/>
    <w:rsid w:val="0081397C"/>
    <w:rsid w:val="008139F8"/>
    <w:rsid w:val="00813B40"/>
    <w:rsid w:val="00814166"/>
    <w:rsid w:val="0081448E"/>
    <w:rsid w:val="008147B6"/>
    <w:rsid w:val="00814C66"/>
    <w:rsid w:val="00814DD3"/>
    <w:rsid w:val="0081526B"/>
    <w:rsid w:val="0081558F"/>
    <w:rsid w:val="00815762"/>
    <w:rsid w:val="00815CBA"/>
    <w:rsid w:val="00815D86"/>
    <w:rsid w:val="00815E89"/>
    <w:rsid w:val="00816226"/>
    <w:rsid w:val="0081635A"/>
    <w:rsid w:val="00816C0A"/>
    <w:rsid w:val="008173A8"/>
    <w:rsid w:val="008179B6"/>
    <w:rsid w:val="00817A1A"/>
    <w:rsid w:val="00817ABD"/>
    <w:rsid w:val="0082031C"/>
    <w:rsid w:val="008204F9"/>
    <w:rsid w:val="00820866"/>
    <w:rsid w:val="0082167D"/>
    <w:rsid w:val="0082199C"/>
    <w:rsid w:val="00821B9D"/>
    <w:rsid w:val="008220E2"/>
    <w:rsid w:val="0082241E"/>
    <w:rsid w:val="00822537"/>
    <w:rsid w:val="00822F15"/>
    <w:rsid w:val="00823251"/>
    <w:rsid w:val="00823C14"/>
    <w:rsid w:val="00823C6B"/>
    <w:rsid w:val="00823C7D"/>
    <w:rsid w:val="00823F31"/>
    <w:rsid w:val="008241B0"/>
    <w:rsid w:val="0082521B"/>
    <w:rsid w:val="0082537C"/>
    <w:rsid w:val="008254C6"/>
    <w:rsid w:val="0082554A"/>
    <w:rsid w:val="00826027"/>
    <w:rsid w:val="008260DE"/>
    <w:rsid w:val="00826185"/>
    <w:rsid w:val="0082619D"/>
    <w:rsid w:val="0082667B"/>
    <w:rsid w:val="0082686C"/>
    <w:rsid w:val="0082748C"/>
    <w:rsid w:val="008279DB"/>
    <w:rsid w:val="00827A5D"/>
    <w:rsid w:val="00827EE1"/>
    <w:rsid w:val="00827FC2"/>
    <w:rsid w:val="008305A6"/>
    <w:rsid w:val="0083078C"/>
    <w:rsid w:val="008307A7"/>
    <w:rsid w:val="00831097"/>
    <w:rsid w:val="00831249"/>
    <w:rsid w:val="008317BA"/>
    <w:rsid w:val="00831B63"/>
    <w:rsid w:val="00831C06"/>
    <w:rsid w:val="00831DED"/>
    <w:rsid w:val="00831FBE"/>
    <w:rsid w:val="00832204"/>
    <w:rsid w:val="00832BBB"/>
    <w:rsid w:val="00832EBA"/>
    <w:rsid w:val="0083391B"/>
    <w:rsid w:val="00833953"/>
    <w:rsid w:val="00833EE9"/>
    <w:rsid w:val="00834279"/>
    <w:rsid w:val="008344F1"/>
    <w:rsid w:val="00834B71"/>
    <w:rsid w:val="00834E7B"/>
    <w:rsid w:val="00835157"/>
    <w:rsid w:val="00835331"/>
    <w:rsid w:val="00835949"/>
    <w:rsid w:val="00835A9E"/>
    <w:rsid w:val="00835BBE"/>
    <w:rsid w:val="00835C4A"/>
    <w:rsid w:val="00835CFD"/>
    <w:rsid w:val="00835E60"/>
    <w:rsid w:val="00835EB2"/>
    <w:rsid w:val="00836C59"/>
    <w:rsid w:val="00837278"/>
    <w:rsid w:val="00837332"/>
    <w:rsid w:val="008378AC"/>
    <w:rsid w:val="0083792B"/>
    <w:rsid w:val="00837B0C"/>
    <w:rsid w:val="00840465"/>
    <w:rsid w:val="00840CEF"/>
    <w:rsid w:val="008410FA"/>
    <w:rsid w:val="00841316"/>
    <w:rsid w:val="00841552"/>
    <w:rsid w:val="008415D1"/>
    <w:rsid w:val="00841D79"/>
    <w:rsid w:val="00841F7D"/>
    <w:rsid w:val="008426F8"/>
    <w:rsid w:val="008428AA"/>
    <w:rsid w:val="00842CA5"/>
    <w:rsid w:val="00842CE5"/>
    <w:rsid w:val="00843056"/>
    <w:rsid w:val="008431F1"/>
    <w:rsid w:val="00843A17"/>
    <w:rsid w:val="00843B3E"/>
    <w:rsid w:val="0084446B"/>
    <w:rsid w:val="008446B2"/>
    <w:rsid w:val="00844D7E"/>
    <w:rsid w:val="008452D9"/>
    <w:rsid w:val="00845A9A"/>
    <w:rsid w:val="00845C06"/>
    <w:rsid w:val="00845D76"/>
    <w:rsid w:val="00846540"/>
    <w:rsid w:val="00846C7E"/>
    <w:rsid w:val="00847094"/>
    <w:rsid w:val="008470C1"/>
    <w:rsid w:val="0084719A"/>
    <w:rsid w:val="00847560"/>
    <w:rsid w:val="00847AAD"/>
    <w:rsid w:val="0085001A"/>
    <w:rsid w:val="008500C5"/>
    <w:rsid w:val="0085076A"/>
    <w:rsid w:val="008508D1"/>
    <w:rsid w:val="00850B9E"/>
    <w:rsid w:val="00850CF6"/>
    <w:rsid w:val="00851179"/>
    <w:rsid w:val="008512BE"/>
    <w:rsid w:val="00851561"/>
    <w:rsid w:val="008516CE"/>
    <w:rsid w:val="00851A4F"/>
    <w:rsid w:val="00851FD6"/>
    <w:rsid w:val="008528F0"/>
    <w:rsid w:val="00852AE2"/>
    <w:rsid w:val="00852BC5"/>
    <w:rsid w:val="00852C4F"/>
    <w:rsid w:val="00852F44"/>
    <w:rsid w:val="008531EA"/>
    <w:rsid w:val="00853ABE"/>
    <w:rsid w:val="00853FF0"/>
    <w:rsid w:val="008548E0"/>
    <w:rsid w:val="0085521A"/>
    <w:rsid w:val="008553F9"/>
    <w:rsid w:val="008557D5"/>
    <w:rsid w:val="00855E24"/>
    <w:rsid w:val="00855EDB"/>
    <w:rsid w:val="00856185"/>
    <w:rsid w:val="00856868"/>
    <w:rsid w:val="00856BD8"/>
    <w:rsid w:val="00857009"/>
    <w:rsid w:val="00857058"/>
    <w:rsid w:val="008571C2"/>
    <w:rsid w:val="00857320"/>
    <w:rsid w:val="008579FF"/>
    <w:rsid w:val="00857ADD"/>
    <w:rsid w:val="0086069B"/>
    <w:rsid w:val="00860772"/>
    <w:rsid w:val="008609F3"/>
    <w:rsid w:val="00860C03"/>
    <w:rsid w:val="00860C16"/>
    <w:rsid w:val="00860D08"/>
    <w:rsid w:val="008617FF"/>
    <w:rsid w:val="0086184B"/>
    <w:rsid w:val="008618D1"/>
    <w:rsid w:val="00861A42"/>
    <w:rsid w:val="00861E12"/>
    <w:rsid w:val="008620C2"/>
    <w:rsid w:val="008626E7"/>
    <w:rsid w:val="00862AEA"/>
    <w:rsid w:val="00862C02"/>
    <w:rsid w:val="00862E1F"/>
    <w:rsid w:val="00862EB4"/>
    <w:rsid w:val="00863407"/>
    <w:rsid w:val="0086378C"/>
    <w:rsid w:val="00863851"/>
    <w:rsid w:val="00863F0E"/>
    <w:rsid w:val="0086469A"/>
    <w:rsid w:val="008646C6"/>
    <w:rsid w:val="00864718"/>
    <w:rsid w:val="00864A0C"/>
    <w:rsid w:val="00864CBB"/>
    <w:rsid w:val="008651EF"/>
    <w:rsid w:val="008652E0"/>
    <w:rsid w:val="00865C80"/>
    <w:rsid w:val="00865CAA"/>
    <w:rsid w:val="00865D8B"/>
    <w:rsid w:val="00865DDD"/>
    <w:rsid w:val="00866560"/>
    <w:rsid w:val="008668E3"/>
    <w:rsid w:val="00866969"/>
    <w:rsid w:val="00866AD0"/>
    <w:rsid w:val="00866C84"/>
    <w:rsid w:val="008675DB"/>
    <w:rsid w:val="0086766B"/>
    <w:rsid w:val="00867784"/>
    <w:rsid w:val="008677A5"/>
    <w:rsid w:val="008678D8"/>
    <w:rsid w:val="00867A6C"/>
    <w:rsid w:val="00867E68"/>
    <w:rsid w:val="00867FCD"/>
    <w:rsid w:val="00870C16"/>
    <w:rsid w:val="00870EA5"/>
    <w:rsid w:val="00870F5A"/>
    <w:rsid w:val="0087145E"/>
    <w:rsid w:val="008717E6"/>
    <w:rsid w:val="00871BE0"/>
    <w:rsid w:val="00873283"/>
    <w:rsid w:val="00873769"/>
    <w:rsid w:val="00873A32"/>
    <w:rsid w:val="00873B28"/>
    <w:rsid w:val="008742EB"/>
    <w:rsid w:val="0087452C"/>
    <w:rsid w:val="00874981"/>
    <w:rsid w:val="0087592C"/>
    <w:rsid w:val="00875B89"/>
    <w:rsid w:val="00875DE8"/>
    <w:rsid w:val="00876A0E"/>
    <w:rsid w:val="00876B63"/>
    <w:rsid w:val="00877152"/>
    <w:rsid w:val="008771DA"/>
    <w:rsid w:val="008775DB"/>
    <w:rsid w:val="008800A8"/>
    <w:rsid w:val="008800FF"/>
    <w:rsid w:val="00880919"/>
    <w:rsid w:val="008809A5"/>
    <w:rsid w:val="00880ADD"/>
    <w:rsid w:val="00880C1A"/>
    <w:rsid w:val="00880C59"/>
    <w:rsid w:val="00881CC5"/>
    <w:rsid w:val="00881E62"/>
    <w:rsid w:val="00881E6E"/>
    <w:rsid w:val="008825A5"/>
    <w:rsid w:val="008825DC"/>
    <w:rsid w:val="00882F54"/>
    <w:rsid w:val="008830E6"/>
    <w:rsid w:val="0088366F"/>
    <w:rsid w:val="0088367E"/>
    <w:rsid w:val="00883B0C"/>
    <w:rsid w:val="0088443D"/>
    <w:rsid w:val="008845B3"/>
    <w:rsid w:val="00884AC0"/>
    <w:rsid w:val="00884BFC"/>
    <w:rsid w:val="00884E34"/>
    <w:rsid w:val="00885408"/>
    <w:rsid w:val="00885D45"/>
    <w:rsid w:val="00886D81"/>
    <w:rsid w:val="00886DB7"/>
    <w:rsid w:val="00886E7B"/>
    <w:rsid w:val="00886F14"/>
    <w:rsid w:val="00886FD7"/>
    <w:rsid w:val="00887A8A"/>
    <w:rsid w:val="00887FBC"/>
    <w:rsid w:val="0089044C"/>
    <w:rsid w:val="00890771"/>
    <w:rsid w:val="008909DB"/>
    <w:rsid w:val="00890D05"/>
    <w:rsid w:val="00890E72"/>
    <w:rsid w:val="00890F26"/>
    <w:rsid w:val="00891307"/>
    <w:rsid w:val="008917C1"/>
    <w:rsid w:val="00891876"/>
    <w:rsid w:val="00891EB6"/>
    <w:rsid w:val="00892919"/>
    <w:rsid w:val="0089330C"/>
    <w:rsid w:val="008933AB"/>
    <w:rsid w:val="00893C00"/>
    <w:rsid w:val="00893F5D"/>
    <w:rsid w:val="00894320"/>
    <w:rsid w:val="008943BD"/>
    <w:rsid w:val="00894584"/>
    <w:rsid w:val="008946F1"/>
    <w:rsid w:val="00894716"/>
    <w:rsid w:val="00894D46"/>
    <w:rsid w:val="00895306"/>
    <w:rsid w:val="00895742"/>
    <w:rsid w:val="00895DC1"/>
    <w:rsid w:val="00895F31"/>
    <w:rsid w:val="008967A0"/>
    <w:rsid w:val="0089688F"/>
    <w:rsid w:val="0089693B"/>
    <w:rsid w:val="00896D3B"/>
    <w:rsid w:val="008976AC"/>
    <w:rsid w:val="00897AC2"/>
    <w:rsid w:val="008A0D32"/>
    <w:rsid w:val="008A106D"/>
    <w:rsid w:val="008A1103"/>
    <w:rsid w:val="008A126F"/>
    <w:rsid w:val="008A150A"/>
    <w:rsid w:val="008A16A7"/>
    <w:rsid w:val="008A1752"/>
    <w:rsid w:val="008A232E"/>
    <w:rsid w:val="008A23DD"/>
    <w:rsid w:val="008A24FE"/>
    <w:rsid w:val="008A261D"/>
    <w:rsid w:val="008A2699"/>
    <w:rsid w:val="008A27C1"/>
    <w:rsid w:val="008A32D4"/>
    <w:rsid w:val="008A3942"/>
    <w:rsid w:val="008A3EFE"/>
    <w:rsid w:val="008A4077"/>
    <w:rsid w:val="008A4AD7"/>
    <w:rsid w:val="008A4BD4"/>
    <w:rsid w:val="008A4CAD"/>
    <w:rsid w:val="008A512B"/>
    <w:rsid w:val="008A5173"/>
    <w:rsid w:val="008A51A7"/>
    <w:rsid w:val="008A64B0"/>
    <w:rsid w:val="008A660E"/>
    <w:rsid w:val="008A7277"/>
    <w:rsid w:val="008A799A"/>
    <w:rsid w:val="008A7A3A"/>
    <w:rsid w:val="008A7DFD"/>
    <w:rsid w:val="008B02EA"/>
    <w:rsid w:val="008B0386"/>
    <w:rsid w:val="008B0B0F"/>
    <w:rsid w:val="008B0C62"/>
    <w:rsid w:val="008B18FF"/>
    <w:rsid w:val="008B1FA2"/>
    <w:rsid w:val="008B2035"/>
    <w:rsid w:val="008B256E"/>
    <w:rsid w:val="008B2E49"/>
    <w:rsid w:val="008B37BA"/>
    <w:rsid w:val="008B3B96"/>
    <w:rsid w:val="008B3C6F"/>
    <w:rsid w:val="008B3E89"/>
    <w:rsid w:val="008B4045"/>
    <w:rsid w:val="008B4152"/>
    <w:rsid w:val="008B419D"/>
    <w:rsid w:val="008B433A"/>
    <w:rsid w:val="008B4630"/>
    <w:rsid w:val="008B4C48"/>
    <w:rsid w:val="008B4F72"/>
    <w:rsid w:val="008B5123"/>
    <w:rsid w:val="008B55CE"/>
    <w:rsid w:val="008B5A07"/>
    <w:rsid w:val="008B69ED"/>
    <w:rsid w:val="008B7204"/>
    <w:rsid w:val="008B7576"/>
    <w:rsid w:val="008B7DEC"/>
    <w:rsid w:val="008C0036"/>
    <w:rsid w:val="008C0257"/>
    <w:rsid w:val="008C0613"/>
    <w:rsid w:val="008C0733"/>
    <w:rsid w:val="008C082E"/>
    <w:rsid w:val="008C0847"/>
    <w:rsid w:val="008C0974"/>
    <w:rsid w:val="008C122F"/>
    <w:rsid w:val="008C1C0F"/>
    <w:rsid w:val="008C1DA4"/>
    <w:rsid w:val="008C1F4B"/>
    <w:rsid w:val="008C2591"/>
    <w:rsid w:val="008C27EE"/>
    <w:rsid w:val="008C2A68"/>
    <w:rsid w:val="008C2D08"/>
    <w:rsid w:val="008C2F53"/>
    <w:rsid w:val="008C2FE4"/>
    <w:rsid w:val="008C3067"/>
    <w:rsid w:val="008C336D"/>
    <w:rsid w:val="008C3764"/>
    <w:rsid w:val="008C3FC8"/>
    <w:rsid w:val="008C4019"/>
    <w:rsid w:val="008C4151"/>
    <w:rsid w:val="008C4158"/>
    <w:rsid w:val="008C4645"/>
    <w:rsid w:val="008C4C57"/>
    <w:rsid w:val="008C4D07"/>
    <w:rsid w:val="008C519E"/>
    <w:rsid w:val="008C56AB"/>
    <w:rsid w:val="008C6773"/>
    <w:rsid w:val="008C71B0"/>
    <w:rsid w:val="008C769E"/>
    <w:rsid w:val="008C79A7"/>
    <w:rsid w:val="008C7AC9"/>
    <w:rsid w:val="008D06C7"/>
    <w:rsid w:val="008D0895"/>
    <w:rsid w:val="008D0ABE"/>
    <w:rsid w:val="008D0F14"/>
    <w:rsid w:val="008D0F46"/>
    <w:rsid w:val="008D1584"/>
    <w:rsid w:val="008D1640"/>
    <w:rsid w:val="008D18D0"/>
    <w:rsid w:val="008D1D41"/>
    <w:rsid w:val="008D210B"/>
    <w:rsid w:val="008D2625"/>
    <w:rsid w:val="008D2C16"/>
    <w:rsid w:val="008D364C"/>
    <w:rsid w:val="008D377E"/>
    <w:rsid w:val="008D38A6"/>
    <w:rsid w:val="008D3919"/>
    <w:rsid w:val="008D3AD7"/>
    <w:rsid w:val="008D3B31"/>
    <w:rsid w:val="008D3D54"/>
    <w:rsid w:val="008D407F"/>
    <w:rsid w:val="008D40AA"/>
    <w:rsid w:val="008D4453"/>
    <w:rsid w:val="008D45DA"/>
    <w:rsid w:val="008D49A9"/>
    <w:rsid w:val="008D4D81"/>
    <w:rsid w:val="008D4EF7"/>
    <w:rsid w:val="008D6191"/>
    <w:rsid w:val="008D656A"/>
    <w:rsid w:val="008D69D4"/>
    <w:rsid w:val="008D7145"/>
    <w:rsid w:val="008E0250"/>
    <w:rsid w:val="008E0814"/>
    <w:rsid w:val="008E09B7"/>
    <w:rsid w:val="008E09BC"/>
    <w:rsid w:val="008E0E09"/>
    <w:rsid w:val="008E1010"/>
    <w:rsid w:val="008E1301"/>
    <w:rsid w:val="008E17B2"/>
    <w:rsid w:val="008E1BD0"/>
    <w:rsid w:val="008E1F1E"/>
    <w:rsid w:val="008E2527"/>
    <w:rsid w:val="008E29A2"/>
    <w:rsid w:val="008E2DCA"/>
    <w:rsid w:val="008E2E22"/>
    <w:rsid w:val="008E2F01"/>
    <w:rsid w:val="008E2FBF"/>
    <w:rsid w:val="008E3126"/>
    <w:rsid w:val="008E445E"/>
    <w:rsid w:val="008E51AA"/>
    <w:rsid w:val="008E521E"/>
    <w:rsid w:val="008E5290"/>
    <w:rsid w:val="008E5736"/>
    <w:rsid w:val="008E5A87"/>
    <w:rsid w:val="008E5D9D"/>
    <w:rsid w:val="008E5FD8"/>
    <w:rsid w:val="008E6395"/>
    <w:rsid w:val="008E6692"/>
    <w:rsid w:val="008E6C23"/>
    <w:rsid w:val="008E72E7"/>
    <w:rsid w:val="008E777B"/>
    <w:rsid w:val="008E791C"/>
    <w:rsid w:val="008E79B9"/>
    <w:rsid w:val="008E7EF7"/>
    <w:rsid w:val="008F0733"/>
    <w:rsid w:val="008F0757"/>
    <w:rsid w:val="008F0A6F"/>
    <w:rsid w:val="008F0B18"/>
    <w:rsid w:val="008F0FC0"/>
    <w:rsid w:val="008F10B6"/>
    <w:rsid w:val="008F10F7"/>
    <w:rsid w:val="008F10FD"/>
    <w:rsid w:val="008F17AD"/>
    <w:rsid w:val="008F1886"/>
    <w:rsid w:val="008F1995"/>
    <w:rsid w:val="008F1D55"/>
    <w:rsid w:val="008F1DC1"/>
    <w:rsid w:val="008F27E0"/>
    <w:rsid w:val="008F2F32"/>
    <w:rsid w:val="008F3AB3"/>
    <w:rsid w:val="008F3EF3"/>
    <w:rsid w:val="008F3F61"/>
    <w:rsid w:val="008F56F2"/>
    <w:rsid w:val="008F5970"/>
    <w:rsid w:val="008F5AF4"/>
    <w:rsid w:val="008F5B7E"/>
    <w:rsid w:val="008F5D73"/>
    <w:rsid w:val="008F5EE6"/>
    <w:rsid w:val="008F601E"/>
    <w:rsid w:val="008F6252"/>
    <w:rsid w:val="008F7309"/>
    <w:rsid w:val="008F7677"/>
    <w:rsid w:val="008F7A5C"/>
    <w:rsid w:val="008F7EA9"/>
    <w:rsid w:val="008F7F78"/>
    <w:rsid w:val="0090031F"/>
    <w:rsid w:val="00900DA9"/>
    <w:rsid w:val="009018EB"/>
    <w:rsid w:val="00901C98"/>
    <w:rsid w:val="0090229B"/>
    <w:rsid w:val="0090245E"/>
    <w:rsid w:val="009027A3"/>
    <w:rsid w:val="00902A0A"/>
    <w:rsid w:val="00902A55"/>
    <w:rsid w:val="00902ABB"/>
    <w:rsid w:val="00902D70"/>
    <w:rsid w:val="00903604"/>
    <w:rsid w:val="0090404E"/>
    <w:rsid w:val="009048BE"/>
    <w:rsid w:val="00904CAA"/>
    <w:rsid w:val="00904FC9"/>
    <w:rsid w:val="00905782"/>
    <w:rsid w:val="009058DF"/>
    <w:rsid w:val="00905FF0"/>
    <w:rsid w:val="00906509"/>
    <w:rsid w:val="00906617"/>
    <w:rsid w:val="0090666D"/>
    <w:rsid w:val="00906AB6"/>
    <w:rsid w:val="00906F2E"/>
    <w:rsid w:val="00906F34"/>
    <w:rsid w:val="00906FE4"/>
    <w:rsid w:val="009071C4"/>
    <w:rsid w:val="0090764E"/>
    <w:rsid w:val="00907683"/>
    <w:rsid w:val="009077EE"/>
    <w:rsid w:val="00907823"/>
    <w:rsid w:val="0090799F"/>
    <w:rsid w:val="00907CDD"/>
    <w:rsid w:val="00907EC8"/>
    <w:rsid w:val="009102E5"/>
    <w:rsid w:val="00910431"/>
    <w:rsid w:val="009105A1"/>
    <w:rsid w:val="00910B9E"/>
    <w:rsid w:val="00910F6F"/>
    <w:rsid w:val="0091183B"/>
    <w:rsid w:val="009119AB"/>
    <w:rsid w:val="00911B39"/>
    <w:rsid w:val="00911E90"/>
    <w:rsid w:val="00912579"/>
    <w:rsid w:val="00913DE7"/>
    <w:rsid w:val="0091416D"/>
    <w:rsid w:val="0091459F"/>
    <w:rsid w:val="00915271"/>
    <w:rsid w:val="00915748"/>
    <w:rsid w:val="0091579D"/>
    <w:rsid w:val="00915B23"/>
    <w:rsid w:val="00915BDC"/>
    <w:rsid w:val="00915C5D"/>
    <w:rsid w:val="00917110"/>
    <w:rsid w:val="00917253"/>
    <w:rsid w:val="009173AE"/>
    <w:rsid w:val="00917522"/>
    <w:rsid w:val="00917753"/>
    <w:rsid w:val="009178BA"/>
    <w:rsid w:val="00917952"/>
    <w:rsid w:val="00917DD7"/>
    <w:rsid w:val="00917E48"/>
    <w:rsid w:val="00920CC0"/>
    <w:rsid w:val="009211F4"/>
    <w:rsid w:val="00921A8D"/>
    <w:rsid w:val="0092200F"/>
    <w:rsid w:val="009221FA"/>
    <w:rsid w:val="00922226"/>
    <w:rsid w:val="009224C5"/>
    <w:rsid w:val="009229E3"/>
    <w:rsid w:val="00922E8A"/>
    <w:rsid w:val="00922EBD"/>
    <w:rsid w:val="009236A5"/>
    <w:rsid w:val="00923AD7"/>
    <w:rsid w:val="00923E07"/>
    <w:rsid w:val="00923F87"/>
    <w:rsid w:val="009246D7"/>
    <w:rsid w:val="009248C1"/>
    <w:rsid w:val="00924EA5"/>
    <w:rsid w:val="0092578C"/>
    <w:rsid w:val="00925D29"/>
    <w:rsid w:val="00927465"/>
    <w:rsid w:val="0092748C"/>
    <w:rsid w:val="00927B30"/>
    <w:rsid w:val="00927F7C"/>
    <w:rsid w:val="00930214"/>
    <w:rsid w:val="00930256"/>
    <w:rsid w:val="009314FB"/>
    <w:rsid w:val="009317F9"/>
    <w:rsid w:val="00931A8C"/>
    <w:rsid w:val="00931B00"/>
    <w:rsid w:val="00931B54"/>
    <w:rsid w:val="009323E4"/>
    <w:rsid w:val="0093277B"/>
    <w:rsid w:val="00932BA0"/>
    <w:rsid w:val="00932CCE"/>
    <w:rsid w:val="00932F4A"/>
    <w:rsid w:val="0093319E"/>
    <w:rsid w:val="009333CD"/>
    <w:rsid w:val="00933A89"/>
    <w:rsid w:val="00933E48"/>
    <w:rsid w:val="0093422A"/>
    <w:rsid w:val="00934C09"/>
    <w:rsid w:val="00934E97"/>
    <w:rsid w:val="00934F35"/>
    <w:rsid w:val="00935CDA"/>
    <w:rsid w:val="00935CF5"/>
    <w:rsid w:val="00936389"/>
    <w:rsid w:val="00936678"/>
    <w:rsid w:val="009368D6"/>
    <w:rsid w:val="009368E4"/>
    <w:rsid w:val="00936BAF"/>
    <w:rsid w:val="00936DC8"/>
    <w:rsid w:val="009373DC"/>
    <w:rsid w:val="009375D0"/>
    <w:rsid w:val="009378F5"/>
    <w:rsid w:val="00937E75"/>
    <w:rsid w:val="00940240"/>
    <w:rsid w:val="0094052B"/>
    <w:rsid w:val="00940F13"/>
    <w:rsid w:val="0094169B"/>
    <w:rsid w:val="00941E69"/>
    <w:rsid w:val="00942716"/>
    <w:rsid w:val="009427C6"/>
    <w:rsid w:val="00942968"/>
    <w:rsid w:val="00942989"/>
    <w:rsid w:val="00942FBD"/>
    <w:rsid w:val="0094302E"/>
    <w:rsid w:val="00943156"/>
    <w:rsid w:val="009431EB"/>
    <w:rsid w:val="00943498"/>
    <w:rsid w:val="009436B5"/>
    <w:rsid w:val="00943A6E"/>
    <w:rsid w:val="00943D89"/>
    <w:rsid w:val="00943E9C"/>
    <w:rsid w:val="00944035"/>
    <w:rsid w:val="0094410C"/>
    <w:rsid w:val="00944A7B"/>
    <w:rsid w:val="00944C82"/>
    <w:rsid w:val="00944CA7"/>
    <w:rsid w:val="00944D3C"/>
    <w:rsid w:val="0094543E"/>
    <w:rsid w:val="0094544D"/>
    <w:rsid w:val="00945845"/>
    <w:rsid w:val="00946017"/>
    <w:rsid w:val="00946367"/>
    <w:rsid w:val="00946F11"/>
    <w:rsid w:val="00946FB9"/>
    <w:rsid w:val="0094774C"/>
    <w:rsid w:val="00947853"/>
    <w:rsid w:val="00947911"/>
    <w:rsid w:val="009503FF"/>
    <w:rsid w:val="0095098E"/>
    <w:rsid w:val="00950BEE"/>
    <w:rsid w:val="00950D57"/>
    <w:rsid w:val="00950D71"/>
    <w:rsid w:val="00950E5E"/>
    <w:rsid w:val="00950EF4"/>
    <w:rsid w:val="00951B1F"/>
    <w:rsid w:val="00951DC9"/>
    <w:rsid w:val="009521BD"/>
    <w:rsid w:val="00952C62"/>
    <w:rsid w:val="00952D32"/>
    <w:rsid w:val="00952EBD"/>
    <w:rsid w:val="009534DF"/>
    <w:rsid w:val="00953746"/>
    <w:rsid w:val="009539E8"/>
    <w:rsid w:val="00953AC8"/>
    <w:rsid w:val="00953F87"/>
    <w:rsid w:val="009541D3"/>
    <w:rsid w:val="009543BC"/>
    <w:rsid w:val="00954659"/>
    <w:rsid w:val="00954932"/>
    <w:rsid w:val="00954954"/>
    <w:rsid w:val="00955CDF"/>
    <w:rsid w:val="009561B4"/>
    <w:rsid w:val="00956619"/>
    <w:rsid w:val="00956E0B"/>
    <w:rsid w:val="009570B8"/>
    <w:rsid w:val="0095782F"/>
    <w:rsid w:val="0095799A"/>
    <w:rsid w:val="00957B08"/>
    <w:rsid w:val="00960734"/>
    <w:rsid w:val="009609BE"/>
    <w:rsid w:val="0096117B"/>
    <w:rsid w:val="009620D6"/>
    <w:rsid w:val="009622D5"/>
    <w:rsid w:val="00962D5D"/>
    <w:rsid w:val="00962FDF"/>
    <w:rsid w:val="0096381A"/>
    <w:rsid w:val="00963850"/>
    <w:rsid w:val="009645FA"/>
    <w:rsid w:val="0096476E"/>
    <w:rsid w:val="00964A05"/>
    <w:rsid w:val="009651E8"/>
    <w:rsid w:val="00965289"/>
    <w:rsid w:val="00965300"/>
    <w:rsid w:val="009653F4"/>
    <w:rsid w:val="0096574A"/>
    <w:rsid w:val="00965950"/>
    <w:rsid w:val="009659EB"/>
    <w:rsid w:val="00965AB7"/>
    <w:rsid w:val="00965E36"/>
    <w:rsid w:val="00965FA5"/>
    <w:rsid w:val="009661B9"/>
    <w:rsid w:val="0096629E"/>
    <w:rsid w:val="00966B7B"/>
    <w:rsid w:val="00966F4B"/>
    <w:rsid w:val="009677DE"/>
    <w:rsid w:val="00967A4B"/>
    <w:rsid w:val="00967AA8"/>
    <w:rsid w:val="00967D73"/>
    <w:rsid w:val="00967D76"/>
    <w:rsid w:val="00967DEF"/>
    <w:rsid w:val="009703CC"/>
    <w:rsid w:val="009709A9"/>
    <w:rsid w:val="00970F9B"/>
    <w:rsid w:val="00971052"/>
    <w:rsid w:val="009714AA"/>
    <w:rsid w:val="009716DC"/>
    <w:rsid w:val="0097216F"/>
    <w:rsid w:val="00972956"/>
    <w:rsid w:val="00972BE2"/>
    <w:rsid w:val="009731FF"/>
    <w:rsid w:val="00973268"/>
    <w:rsid w:val="0097328A"/>
    <w:rsid w:val="009733D4"/>
    <w:rsid w:val="00973A89"/>
    <w:rsid w:val="00973B41"/>
    <w:rsid w:val="00973C5D"/>
    <w:rsid w:val="0097431D"/>
    <w:rsid w:val="009746BA"/>
    <w:rsid w:val="00974A36"/>
    <w:rsid w:val="00974B4F"/>
    <w:rsid w:val="00975091"/>
    <w:rsid w:val="0097513B"/>
    <w:rsid w:val="0097538B"/>
    <w:rsid w:val="00975A96"/>
    <w:rsid w:val="00976699"/>
    <w:rsid w:val="0097690C"/>
    <w:rsid w:val="00976D44"/>
    <w:rsid w:val="00977504"/>
    <w:rsid w:val="0097760B"/>
    <w:rsid w:val="009777E6"/>
    <w:rsid w:val="0097781D"/>
    <w:rsid w:val="00977837"/>
    <w:rsid w:val="00977ADE"/>
    <w:rsid w:val="00977B4A"/>
    <w:rsid w:val="00980B83"/>
    <w:rsid w:val="009811A7"/>
    <w:rsid w:val="00981283"/>
    <w:rsid w:val="00981323"/>
    <w:rsid w:val="0098139D"/>
    <w:rsid w:val="00981467"/>
    <w:rsid w:val="00981701"/>
    <w:rsid w:val="009817A8"/>
    <w:rsid w:val="00981AE3"/>
    <w:rsid w:val="00981C68"/>
    <w:rsid w:val="00983376"/>
    <w:rsid w:val="00983733"/>
    <w:rsid w:val="00983C45"/>
    <w:rsid w:val="00983D36"/>
    <w:rsid w:val="00983D5A"/>
    <w:rsid w:val="00983EE3"/>
    <w:rsid w:val="00983F24"/>
    <w:rsid w:val="009840E3"/>
    <w:rsid w:val="009841B7"/>
    <w:rsid w:val="009846D0"/>
    <w:rsid w:val="00984B93"/>
    <w:rsid w:val="00984C0A"/>
    <w:rsid w:val="00984E53"/>
    <w:rsid w:val="00984FC9"/>
    <w:rsid w:val="0098531C"/>
    <w:rsid w:val="0098687E"/>
    <w:rsid w:val="00986BA6"/>
    <w:rsid w:val="0098729A"/>
    <w:rsid w:val="009912AF"/>
    <w:rsid w:val="009912F4"/>
    <w:rsid w:val="00991307"/>
    <w:rsid w:val="00992302"/>
    <w:rsid w:val="0099237D"/>
    <w:rsid w:val="0099284D"/>
    <w:rsid w:val="00992B35"/>
    <w:rsid w:val="00993BED"/>
    <w:rsid w:val="00993FB4"/>
    <w:rsid w:val="00994431"/>
    <w:rsid w:val="00994720"/>
    <w:rsid w:val="00994FA9"/>
    <w:rsid w:val="0099577F"/>
    <w:rsid w:val="00995958"/>
    <w:rsid w:val="009966A5"/>
    <w:rsid w:val="00996701"/>
    <w:rsid w:val="0099684D"/>
    <w:rsid w:val="00996B4A"/>
    <w:rsid w:val="00996CBE"/>
    <w:rsid w:val="00996DA3"/>
    <w:rsid w:val="00997534"/>
    <w:rsid w:val="009977BA"/>
    <w:rsid w:val="00997E7B"/>
    <w:rsid w:val="00997EA6"/>
    <w:rsid w:val="009A004C"/>
    <w:rsid w:val="009A020F"/>
    <w:rsid w:val="009A0598"/>
    <w:rsid w:val="009A0619"/>
    <w:rsid w:val="009A06B6"/>
    <w:rsid w:val="009A1157"/>
    <w:rsid w:val="009A11A9"/>
    <w:rsid w:val="009A14E3"/>
    <w:rsid w:val="009A1806"/>
    <w:rsid w:val="009A19D8"/>
    <w:rsid w:val="009A1AAD"/>
    <w:rsid w:val="009A23D1"/>
    <w:rsid w:val="009A299B"/>
    <w:rsid w:val="009A40D0"/>
    <w:rsid w:val="009A443D"/>
    <w:rsid w:val="009A46E4"/>
    <w:rsid w:val="009A4788"/>
    <w:rsid w:val="009A5473"/>
    <w:rsid w:val="009A54BE"/>
    <w:rsid w:val="009A557D"/>
    <w:rsid w:val="009A5687"/>
    <w:rsid w:val="009A59CE"/>
    <w:rsid w:val="009A5AB0"/>
    <w:rsid w:val="009A5D2C"/>
    <w:rsid w:val="009A60C9"/>
    <w:rsid w:val="009A6638"/>
    <w:rsid w:val="009A6BB8"/>
    <w:rsid w:val="009A71B7"/>
    <w:rsid w:val="009A728C"/>
    <w:rsid w:val="009A7775"/>
    <w:rsid w:val="009A7BD5"/>
    <w:rsid w:val="009A7E56"/>
    <w:rsid w:val="009A7FF9"/>
    <w:rsid w:val="009B0563"/>
    <w:rsid w:val="009B06B7"/>
    <w:rsid w:val="009B07F4"/>
    <w:rsid w:val="009B0BAF"/>
    <w:rsid w:val="009B117E"/>
    <w:rsid w:val="009B15E5"/>
    <w:rsid w:val="009B168F"/>
    <w:rsid w:val="009B1893"/>
    <w:rsid w:val="009B1909"/>
    <w:rsid w:val="009B1AC3"/>
    <w:rsid w:val="009B1EE8"/>
    <w:rsid w:val="009B1F45"/>
    <w:rsid w:val="009B27CB"/>
    <w:rsid w:val="009B27DB"/>
    <w:rsid w:val="009B2825"/>
    <w:rsid w:val="009B4238"/>
    <w:rsid w:val="009B432F"/>
    <w:rsid w:val="009B4F09"/>
    <w:rsid w:val="009B5521"/>
    <w:rsid w:val="009B57F5"/>
    <w:rsid w:val="009B5A0D"/>
    <w:rsid w:val="009B608E"/>
    <w:rsid w:val="009B63E7"/>
    <w:rsid w:val="009B67F2"/>
    <w:rsid w:val="009B700D"/>
    <w:rsid w:val="009B7529"/>
    <w:rsid w:val="009B7AD6"/>
    <w:rsid w:val="009B7AFE"/>
    <w:rsid w:val="009C067F"/>
    <w:rsid w:val="009C0AD0"/>
    <w:rsid w:val="009C0B71"/>
    <w:rsid w:val="009C0D32"/>
    <w:rsid w:val="009C0EDF"/>
    <w:rsid w:val="009C105F"/>
    <w:rsid w:val="009C1603"/>
    <w:rsid w:val="009C16C7"/>
    <w:rsid w:val="009C19B0"/>
    <w:rsid w:val="009C238C"/>
    <w:rsid w:val="009C2B9B"/>
    <w:rsid w:val="009C300A"/>
    <w:rsid w:val="009C308A"/>
    <w:rsid w:val="009C3205"/>
    <w:rsid w:val="009C320A"/>
    <w:rsid w:val="009C32D0"/>
    <w:rsid w:val="009C3472"/>
    <w:rsid w:val="009C352A"/>
    <w:rsid w:val="009C3ABA"/>
    <w:rsid w:val="009C3F5A"/>
    <w:rsid w:val="009C4353"/>
    <w:rsid w:val="009C43FE"/>
    <w:rsid w:val="009C48B0"/>
    <w:rsid w:val="009C51CC"/>
    <w:rsid w:val="009C5E1C"/>
    <w:rsid w:val="009C61D5"/>
    <w:rsid w:val="009C6703"/>
    <w:rsid w:val="009C6BFB"/>
    <w:rsid w:val="009C729F"/>
    <w:rsid w:val="009C7556"/>
    <w:rsid w:val="009D0399"/>
    <w:rsid w:val="009D049F"/>
    <w:rsid w:val="009D053B"/>
    <w:rsid w:val="009D0AF4"/>
    <w:rsid w:val="009D0FD8"/>
    <w:rsid w:val="009D1D64"/>
    <w:rsid w:val="009D2B73"/>
    <w:rsid w:val="009D3431"/>
    <w:rsid w:val="009D368D"/>
    <w:rsid w:val="009D48B9"/>
    <w:rsid w:val="009D493D"/>
    <w:rsid w:val="009D4CA2"/>
    <w:rsid w:val="009D4EC3"/>
    <w:rsid w:val="009D52C2"/>
    <w:rsid w:val="009D5AAA"/>
    <w:rsid w:val="009D5B99"/>
    <w:rsid w:val="009D5E23"/>
    <w:rsid w:val="009D6158"/>
    <w:rsid w:val="009D61D8"/>
    <w:rsid w:val="009D62F7"/>
    <w:rsid w:val="009D6649"/>
    <w:rsid w:val="009D685D"/>
    <w:rsid w:val="009D6887"/>
    <w:rsid w:val="009D6941"/>
    <w:rsid w:val="009D6C65"/>
    <w:rsid w:val="009D6C87"/>
    <w:rsid w:val="009D6EE8"/>
    <w:rsid w:val="009D797A"/>
    <w:rsid w:val="009D7D16"/>
    <w:rsid w:val="009E0433"/>
    <w:rsid w:val="009E0B30"/>
    <w:rsid w:val="009E0B8F"/>
    <w:rsid w:val="009E0F7D"/>
    <w:rsid w:val="009E2089"/>
    <w:rsid w:val="009E27A4"/>
    <w:rsid w:val="009E3B88"/>
    <w:rsid w:val="009E3BF6"/>
    <w:rsid w:val="009E4A4D"/>
    <w:rsid w:val="009E57F2"/>
    <w:rsid w:val="009E5B6D"/>
    <w:rsid w:val="009E62F6"/>
    <w:rsid w:val="009E6338"/>
    <w:rsid w:val="009E7B90"/>
    <w:rsid w:val="009E7DEC"/>
    <w:rsid w:val="009F0267"/>
    <w:rsid w:val="009F0671"/>
    <w:rsid w:val="009F0B90"/>
    <w:rsid w:val="009F0E66"/>
    <w:rsid w:val="009F11EF"/>
    <w:rsid w:val="009F22BB"/>
    <w:rsid w:val="009F2997"/>
    <w:rsid w:val="009F2F3B"/>
    <w:rsid w:val="009F3E10"/>
    <w:rsid w:val="009F3E8A"/>
    <w:rsid w:val="009F4419"/>
    <w:rsid w:val="009F44F8"/>
    <w:rsid w:val="009F4E7F"/>
    <w:rsid w:val="009F544D"/>
    <w:rsid w:val="009F596E"/>
    <w:rsid w:val="009F5F10"/>
    <w:rsid w:val="009F628C"/>
    <w:rsid w:val="009F62C3"/>
    <w:rsid w:val="009F65EC"/>
    <w:rsid w:val="009F6876"/>
    <w:rsid w:val="009F691C"/>
    <w:rsid w:val="009F6E59"/>
    <w:rsid w:val="009F6FE5"/>
    <w:rsid w:val="009F7AE1"/>
    <w:rsid w:val="009F7F5E"/>
    <w:rsid w:val="00A002C0"/>
    <w:rsid w:val="00A00945"/>
    <w:rsid w:val="00A00C7A"/>
    <w:rsid w:val="00A00E53"/>
    <w:rsid w:val="00A00EB4"/>
    <w:rsid w:val="00A0103B"/>
    <w:rsid w:val="00A010D5"/>
    <w:rsid w:val="00A014B4"/>
    <w:rsid w:val="00A0152E"/>
    <w:rsid w:val="00A015DD"/>
    <w:rsid w:val="00A01CCC"/>
    <w:rsid w:val="00A02E5F"/>
    <w:rsid w:val="00A02FD4"/>
    <w:rsid w:val="00A030A0"/>
    <w:rsid w:val="00A030E2"/>
    <w:rsid w:val="00A032A4"/>
    <w:rsid w:val="00A035B7"/>
    <w:rsid w:val="00A038C7"/>
    <w:rsid w:val="00A03C40"/>
    <w:rsid w:val="00A03D8C"/>
    <w:rsid w:val="00A04208"/>
    <w:rsid w:val="00A0447B"/>
    <w:rsid w:val="00A04799"/>
    <w:rsid w:val="00A04BD4"/>
    <w:rsid w:val="00A0504C"/>
    <w:rsid w:val="00A05357"/>
    <w:rsid w:val="00A0547A"/>
    <w:rsid w:val="00A05743"/>
    <w:rsid w:val="00A0584A"/>
    <w:rsid w:val="00A059C3"/>
    <w:rsid w:val="00A05D18"/>
    <w:rsid w:val="00A06531"/>
    <w:rsid w:val="00A06A52"/>
    <w:rsid w:val="00A06B19"/>
    <w:rsid w:val="00A06C58"/>
    <w:rsid w:val="00A06D0B"/>
    <w:rsid w:val="00A06F47"/>
    <w:rsid w:val="00A06F7D"/>
    <w:rsid w:val="00A0740F"/>
    <w:rsid w:val="00A07558"/>
    <w:rsid w:val="00A079F6"/>
    <w:rsid w:val="00A07A70"/>
    <w:rsid w:val="00A07CD4"/>
    <w:rsid w:val="00A07DAE"/>
    <w:rsid w:val="00A103E5"/>
    <w:rsid w:val="00A1147B"/>
    <w:rsid w:val="00A114D6"/>
    <w:rsid w:val="00A11523"/>
    <w:rsid w:val="00A13414"/>
    <w:rsid w:val="00A137D8"/>
    <w:rsid w:val="00A13A85"/>
    <w:rsid w:val="00A13AE0"/>
    <w:rsid w:val="00A13D17"/>
    <w:rsid w:val="00A14CDC"/>
    <w:rsid w:val="00A1525A"/>
    <w:rsid w:val="00A15323"/>
    <w:rsid w:val="00A154C0"/>
    <w:rsid w:val="00A15AED"/>
    <w:rsid w:val="00A15F12"/>
    <w:rsid w:val="00A1602B"/>
    <w:rsid w:val="00A1619F"/>
    <w:rsid w:val="00A16532"/>
    <w:rsid w:val="00A16AFA"/>
    <w:rsid w:val="00A17AB1"/>
    <w:rsid w:val="00A200C3"/>
    <w:rsid w:val="00A200D0"/>
    <w:rsid w:val="00A20655"/>
    <w:rsid w:val="00A20BC5"/>
    <w:rsid w:val="00A20D69"/>
    <w:rsid w:val="00A20EFC"/>
    <w:rsid w:val="00A21155"/>
    <w:rsid w:val="00A21249"/>
    <w:rsid w:val="00A21424"/>
    <w:rsid w:val="00A21799"/>
    <w:rsid w:val="00A21AF1"/>
    <w:rsid w:val="00A21E0A"/>
    <w:rsid w:val="00A2213F"/>
    <w:rsid w:val="00A224CF"/>
    <w:rsid w:val="00A22735"/>
    <w:rsid w:val="00A22EE5"/>
    <w:rsid w:val="00A2314D"/>
    <w:rsid w:val="00A23CFA"/>
    <w:rsid w:val="00A23F75"/>
    <w:rsid w:val="00A24201"/>
    <w:rsid w:val="00A244DD"/>
    <w:rsid w:val="00A2475E"/>
    <w:rsid w:val="00A2493A"/>
    <w:rsid w:val="00A24BBB"/>
    <w:rsid w:val="00A24DA8"/>
    <w:rsid w:val="00A2523A"/>
    <w:rsid w:val="00A25C40"/>
    <w:rsid w:val="00A2690C"/>
    <w:rsid w:val="00A26FB1"/>
    <w:rsid w:val="00A27597"/>
    <w:rsid w:val="00A27E0B"/>
    <w:rsid w:val="00A30410"/>
    <w:rsid w:val="00A30A3B"/>
    <w:rsid w:val="00A30B0D"/>
    <w:rsid w:val="00A30BF7"/>
    <w:rsid w:val="00A316B7"/>
    <w:rsid w:val="00A31C52"/>
    <w:rsid w:val="00A32391"/>
    <w:rsid w:val="00A32CC6"/>
    <w:rsid w:val="00A32CD2"/>
    <w:rsid w:val="00A32F03"/>
    <w:rsid w:val="00A331A7"/>
    <w:rsid w:val="00A333DF"/>
    <w:rsid w:val="00A33563"/>
    <w:rsid w:val="00A3366C"/>
    <w:rsid w:val="00A337E3"/>
    <w:rsid w:val="00A33CB5"/>
    <w:rsid w:val="00A34A10"/>
    <w:rsid w:val="00A34D96"/>
    <w:rsid w:val="00A34F1C"/>
    <w:rsid w:val="00A34F62"/>
    <w:rsid w:val="00A34FCF"/>
    <w:rsid w:val="00A35675"/>
    <w:rsid w:val="00A35A53"/>
    <w:rsid w:val="00A35B6B"/>
    <w:rsid w:val="00A36B18"/>
    <w:rsid w:val="00A36BBD"/>
    <w:rsid w:val="00A373B6"/>
    <w:rsid w:val="00A37423"/>
    <w:rsid w:val="00A37A4E"/>
    <w:rsid w:val="00A37BB6"/>
    <w:rsid w:val="00A37C45"/>
    <w:rsid w:val="00A40164"/>
    <w:rsid w:val="00A40319"/>
    <w:rsid w:val="00A40C33"/>
    <w:rsid w:val="00A414B7"/>
    <w:rsid w:val="00A41581"/>
    <w:rsid w:val="00A4178B"/>
    <w:rsid w:val="00A41898"/>
    <w:rsid w:val="00A41943"/>
    <w:rsid w:val="00A4237C"/>
    <w:rsid w:val="00A42563"/>
    <w:rsid w:val="00A42B87"/>
    <w:rsid w:val="00A436B5"/>
    <w:rsid w:val="00A43813"/>
    <w:rsid w:val="00A43A34"/>
    <w:rsid w:val="00A43A65"/>
    <w:rsid w:val="00A43BEC"/>
    <w:rsid w:val="00A44E18"/>
    <w:rsid w:val="00A44FEA"/>
    <w:rsid w:val="00A45061"/>
    <w:rsid w:val="00A45DC3"/>
    <w:rsid w:val="00A463F3"/>
    <w:rsid w:val="00A46F7B"/>
    <w:rsid w:val="00A47326"/>
    <w:rsid w:val="00A47C32"/>
    <w:rsid w:val="00A47F69"/>
    <w:rsid w:val="00A50012"/>
    <w:rsid w:val="00A50700"/>
    <w:rsid w:val="00A50798"/>
    <w:rsid w:val="00A50B34"/>
    <w:rsid w:val="00A50FD4"/>
    <w:rsid w:val="00A511AB"/>
    <w:rsid w:val="00A51884"/>
    <w:rsid w:val="00A51A69"/>
    <w:rsid w:val="00A51F1C"/>
    <w:rsid w:val="00A52082"/>
    <w:rsid w:val="00A52623"/>
    <w:rsid w:val="00A52642"/>
    <w:rsid w:val="00A52BF9"/>
    <w:rsid w:val="00A53A65"/>
    <w:rsid w:val="00A53C36"/>
    <w:rsid w:val="00A553B6"/>
    <w:rsid w:val="00A557CC"/>
    <w:rsid w:val="00A55F13"/>
    <w:rsid w:val="00A55F26"/>
    <w:rsid w:val="00A56E51"/>
    <w:rsid w:val="00A57166"/>
    <w:rsid w:val="00A57199"/>
    <w:rsid w:val="00A5749F"/>
    <w:rsid w:val="00A603F2"/>
    <w:rsid w:val="00A6040A"/>
    <w:rsid w:val="00A60FBE"/>
    <w:rsid w:val="00A61162"/>
    <w:rsid w:val="00A611F6"/>
    <w:rsid w:val="00A612D8"/>
    <w:rsid w:val="00A612FD"/>
    <w:rsid w:val="00A61427"/>
    <w:rsid w:val="00A61E7A"/>
    <w:rsid w:val="00A62031"/>
    <w:rsid w:val="00A62195"/>
    <w:rsid w:val="00A624A9"/>
    <w:rsid w:val="00A63537"/>
    <w:rsid w:val="00A63797"/>
    <w:rsid w:val="00A63D69"/>
    <w:rsid w:val="00A63F5D"/>
    <w:rsid w:val="00A643A5"/>
    <w:rsid w:val="00A6466A"/>
    <w:rsid w:val="00A64995"/>
    <w:rsid w:val="00A654D0"/>
    <w:rsid w:val="00A65594"/>
    <w:rsid w:val="00A6559A"/>
    <w:rsid w:val="00A66DF4"/>
    <w:rsid w:val="00A67E47"/>
    <w:rsid w:val="00A67FEA"/>
    <w:rsid w:val="00A70668"/>
    <w:rsid w:val="00A70B7F"/>
    <w:rsid w:val="00A70F23"/>
    <w:rsid w:val="00A72F53"/>
    <w:rsid w:val="00A72F91"/>
    <w:rsid w:val="00A73320"/>
    <w:rsid w:val="00A73831"/>
    <w:rsid w:val="00A73F9A"/>
    <w:rsid w:val="00A7419B"/>
    <w:rsid w:val="00A74504"/>
    <w:rsid w:val="00A746D3"/>
    <w:rsid w:val="00A75188"/>
    <w:rsid w:val="00A75949"/>
    <w:rsid w:val="00A7609D"/>
    <w:rsid w:val="00A7610C"/>
    <w:rsid w:val="00A76511"/>
    <w:rsid w:val="00A765FD"/>
    <w:rsid w:val="00A7695B"/>
    <w:rsid w:val="00A76C24"/>
    <w:rsid w:val="00A7707C"/>
    <w:rsid w:val="00A772FB"/>
    <w:rsid w:val="00A7741C"/>
    <w:rsid w:val="00A803F2"/>
    <w:rsid w:val="00A80879"/>
    <w:rsid w:val="00A80A42"/>
    <w:rsid w:val="00A80FB0"/>
    <w:rsid w:val="00A8131B"/>
    <w:rsid w:val="00A8173C"/>
    <w:rsid w:val="00A81B8E"/>
    <w:rsid w:val="00A820FF"/>
    <w:rsid w:val="00A829E2"/>
    <w:rsid w:val="00A836DA"/>
    <w:rsid w:val="00A84450"/>
    <w:rsid w:val="00A84603"/>
    <w:rsid w:val="00A84E91"/>
    <w:rsid w:val="00A8592C"/>
    <w:rsid w:val="00A85C9A"/>
    <w:rsid w:val="00A86234"/>
    <w:rsid w:val="00A86450"/>
    <w:rsid w:val="00A868BB"/>
    <w:rsid w:val="00A868BD"/>
    <w:rsid w:val="00A869AF"/>
    <w:rsid w:val="00A86D18"/>
    <w:rsid w:val="00A87039"/>
    <w:rsid w:val="00A87127"/>
    <w:rsid w:val="00A8778D"/>
    <w:rsid w:val="00A878E2"/>
    <w:rsid w:val="00A87CAE"/>
    <w:rsid w:val="00A87CD3"/>
    <w:rsid w:val="00A87ECD"/>
    <w:rsid w:val="00A903EB"/>
    <w:rsid w:val="00A908F6"/>
    <w:rsid w:val="00A90A01"/>
    <w:rsid w:val="00A9124C"/>
    <w:rsid w:val="00A91BC3"/>
    <w:rsid w:val="00A92289"/>
    <w:rsid w:val="00A92418"/>
    <w:rsid w:val="00A92660"/>
    <w:rsid w:val="00A92C3B"/>
    <w:rsid w:val="00A93055"/>
    <w:rsid w:val="00A93B56"/>
    <w:rsid w:val="00A93C90"/>
    <w:rsid w:val="00A948F1"/>
    <w:rsid w:val="00A94BC8"/>
    <w:rsid w:val="00A95133"/>
    <w:rsid w:val="00A9548B"/>
    <w:rsid w:val="00A96003"/>
    <w:rsid w:val="00A960F4"/>
    <w:rsid w:val="00A96103"/>
    <w:rsid w:val="00A96330"/>
    <w:rsid w:val="00A965FE"/>
    <w:rsid w:val="00A96729"/>
    <w:rsid w:val="00A968B8"/>
    <w:rsid w:val="00A97650"/>
    <w:rsid w:val="00A9788F"/>
    <w:rsid w:val="00A97A4E"/>
    <w:rsid w:val="00A97B11"/>
    <w:rsid w:val="00A97D9B"/>
    <w:rsid w:val="00A97E09"/>
    <w:rsid w:val="00A97E61"/>
    <w:rsid w:val="00A97F6B"/>
    <w:rsid w:val="00AA07FC"/>
    <w:rsid w:val="00AA1A00"/>
    <w:rsid w:val="00AA1E48"/>
    <w:rsid w:val="00AA1FDA"/>
    <w:rsid w:val="00AA2032"/>
    <w:rsid w:val="00AA2145"/>
    <w:rsid w:val="00AA2434"/>
    <w:rsid w:val="00AA271E"/>
    <w:rsid w:val="00AA294D"/>
    <w:rsid w:val="00AA2A76"/>
    <w:rsid w:val="00AA2C3E"/>
    <w:rsid w:val="00AA338C"/>
    <w:rsid w:val="00AA3432"/>
    <w:rsid w:val="00AA3C66"/>
    <w:rsid w:val="00AA3D12"/>
    <w:rsid w:val="00AA4019"/>
    <w:rsid w:val="00AA42EF"/>
    <w:rsid w:val="00AA45C5"/>
    <w:rsid w:val="00AA46C1"/>
    <w:rsid w:val="00AA4A8A"/>
    <w:rsid w:val="00AA5668"/>
    <w:rsid w:val="00AA56E3"/>
    <w:rsid w:val="00AA6A1D"/>
    <w:rsid w:val="00AA6C67"/>
    <w:rsid w:val="00AA6D16"/>
    <w:rsid w:val="00AA6EE9"/>
    <w:rsid w:val="00AA70C7"/>
    <w:rsid w:val="00AA77A2"/>
    <w:rsid w:val="00AA79DE"/>
    <w:rsid w:val="00AA7E63"/>
    <w:rsid w:val="00AA7F7F"/>
    <w:rsid w:val="00AB06A9"/>
    <w:rsid w:val="00AB0A5C"/>
    <w:rsid w:val="00AB0BCA"/>
    <w:rsid w:val="00AB1060"/>
    <w:rsid w:val="00AB1304"/>
    <w:rsid w:val="00AB2173"/>
    <w:rsid w:val="00AB274B"/>
    <w:rsid w:val="00AB28B9"/>
    <w:rsid w:val="00AB30AE"/>
    <w:rsid w:val="00AB30BA"/>
    <w:rsid w:val="00AB31A7"/>
    <w:rsid w:val="00AB3322"/>
    <w:rsid w:val="00AB35B0"/>
    <w:rsid w:val="00AB58D3"/>
    <w:rsid w:val="00AB623E"/>
    <w:rsid w:val="00AB6D73"/>
    <w:rsid w:val="00AB6E99"/>
    <w:rsid w:val="00AB77D9"/>
    <w:rsid w:val="00AB7EA1"/>
    <w:rsid w:val="00AC00D7"/>
    <w:rsid w:val="00AC01D7"/>
    <w:rsid w:val="00AC07C7"/>
    <w:rsid w:val="00AC0D74"/>
    <w:rsid w:val="00AC0E26"/>
    <w:rsid w:val="00AC1EF3"/>
    <w:rsid w:val="00AC2024"/>
    <w:rsid w:val="00AC252F"/>
    <w:rsid w:val="00AC316E"/>
    <w:rsid w:val="00AC3548"/>
    <w:rsid w:val="00AC3918"/>
    <w:rsid w:val="00AC3B93"/>
    <w:rsid w:val="00AC3E7B"/>
    <w:rsid w:val="00AC41DD"/>
    <w:rsid w:val="00AC43AD"/>
    <w:rsid w:val="00AC4684"/>
    <w:rsid w:val="00AC476D"/>
    <w:rsid w:val="00AC4F9D"/>
    <w:rsid w:val="00AC50CC"/>
    <w:rsid w:val="00AC532F"/>
    <w:rsid w:val="00AC56B2"/>
    <w:rsid w:val="00AC5B95"/>
    <w:rsid w:val="00AC5E32"/>
    <w:rsid w:val="00AC61D7"/>
    <w:rsid w:val="00AC621E"/>
    <w:rsid w:val="00AC7125"/>
    <w:rsid w:val="00AC75D5"/>
    <w:rsid w:val="00AC7A30"/>
    <w:rsid w:val="00AC7AA6"/>
    <w:rsid w:val="00AC7CE0"/>
    <w:rsid w:val="00AD045D"/>
    <w:rsid w:val="00AD0C23"/>
    <w:rsid w:val="00AD0EAA"/>
    <w:rsid w:val="00AD0EE9"/>
    <w:rsid w:val="00AD1065"/>
    <w:rsid w:val="00AD16CB"/>
    <w:rsid w:val="00AD1A9A"/>
    <w:rsid w:val="00AD1E62"/>
    <w:rsid w:val="00AD1FD3"/>
    <w:rsid w:val="00AD280C"/>
    <w:rsid w:val="00AD2A0D"/>
    <w:rsid w:val="00AD2CE2"/>
    <w:rsid w:val="00AD2D1F"/>
    <w:rsid w:val="00AD3995"/>
    <w:rsid w:val="00AD3B05"/>
    <w:rsid w:val="00AD3E89"/>
    <w:rsid w:val="00AD4628"/>
    <w:rsid w:val="00AD4843"/>
    <w:rsid w:val="00AD4A63"/>
    <w:rsid w:val="00AD583B"/>
    <w:rsid w:val="00AD5DC8"/>
    <w:rsid w:val="00AD6655"/>
    <w:rsid w:val="00AD6BF8"/>
    <w:rsid w:val="00AD7328"/>
    <w:rsid w:val="00AD7396"/>
    <w:rsid w:val="00AD7538"/>
    <w:rsid w:val="00AD78F3"/>
    <w:rsid w:val="00AD7C0D"/>
    <w:rsid w:val="00AD7F5B"/>
    <w:rsid w:val="00AD7F7F"/>
    <w:rsid w:val="00AE00F1"/>
    <w:rsid w:val="00AE0638"/>
    <w:rsid w:val="00AE088D"/>
    <w:rsid w:val="00AE0D9B"/>
    <w:rsid w:val="00AE11D9"/>
    <w:rsid w:val="00AE1241"/>
    <w:rsid w:val="00AE1388"/>
    <w:rsid w:val="00AE14EA"/>
    <w:rsid w:val="00AE194B"/>
    <w:rsid w:val="00AE20CD"/>
    <w:rsid w:val="00AE221A"/>
    <w:rsid w:val="00AE3707"/>
    <w:rsid w:val="00AE3F80"/>
    <w:rsid w:val="00AE4D49"/>
    <w:rsid w:val="00AE5627"/>
    <w:rsid w:val="00AE65D5"/>
    <w:rsid w:val="00AE69D7"/>
    <w:rsid w:val="00AE7056"/>
    <w:rsid w:val="00AE73B0"/>
    <w:rsid w:val="00AE73F8"/>
    <w:rsid w:val="00AE7C63"/>
    <w:rsid w:val="00AF01B7"/>
    <w:rsid w:val="00AF0886"/>
    <w:rsid w:val="00AF08D5"/>
    <w:rsid w:val="00AF0D8F"/>
    <w:rsid w:val="00AF0DD6"/>
    <w:rsid w:val="00AF1615"/>
    <w:rsid w:val="00AF1748"/>
    <w:rsid w:val="00AF1832"/>
    <w:rsid w:val="00AF183F"/>
    <w:rsid w:val="00AF1969"/>
    <w:rsid w:val="00AF1A5B"/>
    <w:rsid w:val="00AF1B15"/>
    <w:rsid w:val="00AF258A"/>
    <w:rsid w:val="00AF2615"/>
    <w:rsid w:val="00AF29E2"/>
    <w:rsid w:val="00AF2E30"/>
    <w:rsid w:val="00AF3019"/>
    <w:rsid w:val="00AF337B"/>
    <w:rsid w:val="00AF39AD"/>
    <w:rsid w:val="00AF3E1F"/>
    <w:rsid w:val="00AF3E72"/>
    <w:rsid w:val="00AF3FBA"/>
    <w:rsid w:val="00AF410A"/>
    <w:rsid w:val="00AF417F"/>
    <w:rsid w:val="00AF4481"/>
    <w:rsid w:val="00AF540B"/>
    <w:rsid w:val="00AF5581"/>
    <w:rsid w:val="00AF64B4"/>
    <w:rsid w:val="00AF64CD"/>
    <w:rsid w:val="00AF66C2"/>
    <w:rsid w:val="00AF6855"/>
    <w:rsid w:val="00AF697D"/>
    <w:rsid w:val="00AF6A91"/>
    <w:rsid w:val="00AF6CF0"/>
    <w:rsid w:val="00AF6EAC"/>
    <w:rsid w:val="00AF7016"/>
    <w:rsid w:val="00AF78B1"/>
    <w:rsid w:val="00AF78DC"/>
    <w:rsid w:val="00AF7B52"/>
    <w:rsid w:val="00AF7BBE"/>
    <w:rsid w:val="00AF7DD1"/>
    <w:rsid w:val="00B002B4"/>
    <w:rsid w:val="00B004E1"/>
    <w:rsid w:val="00B012C9"/>
    <w:rsid w:val="00B01A20"/>
    <w:rsid w:val="00B01A24"/>
    <w:rsid w:val="00B02028"/>
    <w:rsid w:val="00B02095"/>
    <w:rsid w:val="00B0225D"/>
    <w:rsid w:val="00B02658"/>
    <w:rsid w:val="00B02A4B"/>
    <w:rsid w:val="00B02C20"/>
    <w:rsid w:val="00B02E5D"/>
    <w:rsid w:val="00B02F98"/>
    <w:rsid w:val="00B03138"/>
    <w:rsid w:val="00B0357A"/>
    <w:rsid w:val="00B03651"/>
    <w:rsid w:val="00B0365D"/>
    <w:rsid w:val="00B03942"/>
    <w:rsid w:val="00B03BAE"/>
    <w:rsid w:val="00B04460"/>
    <w:rsid w:val="00B0503A"/>
    <w:rsid w:val="00B050CB"/>
    <w:rsid w:val="00B05D11"/>
    <w:rsid w:val="00B065F0"/>
    <w:rsid w:val="00B06BA6"/>
    <w:rsid w:val="00B06F73"/>
    <w:rsid w:val="00B07B57"/>
    <w:rsid w:val="00B07B61"/>
    <w:rsid w:val="00B07BA4"/>
    <w:rsid w:val="00B07DD6"/>
    <w:rsid w:val="00B10A22"/>
    <w:rsid w:val="00B10BE5"/>
    <w:rsid w:val="00B113E7"/>
    <w:rsid w:val="00B1186E"/>
    <w:rsid w:val="00B11A7B"/>
    <w:rsid w:val="00B11E9D"/>
    <w:rsid w:val="00B1253E"/>
    <w:rsid w:val="00B125D3"/>
    <w:rsid w:val="00B12731"/>
    <w:rsid w:val="00B12CD6"/>
    <w:rsid w:val="00B12CE2"/>
    <w:rsid w:val="00B149A5"/>
    <w:rsid w:val="00B14F86"/>
    <w:rsid w:val="00B151DA"/>
    <w:rsid w:val="00B15436"/>
    <w:rsid w:val="00B159A2"/>
    <w:rsid w:val="00B15E0F"/>
    <w:rsid w:val="00B162D9"/>
    <w:rsid w:val="00B1675A"/>
    <w:rsid w:val="00B173D6"/>
    <w:rsid w:val="00B177F1"/>
    <w:rsid w:val="00B17875"/>
    <w:rsid w:val="00B17892"/>
    <w:rsid w:val="00B17B03"/>
    <w:rsid w:val="00B17E05"/>
    <w:rsid w:val="00B17EAF"/>
    <w:rsid w:val="00B21731"/>
    <w:rsid w:val="00B219D9"/>
    <w:rsid w:val="00B2248E"/>
    <w:rsid w:val="00B22C44"/>
    <w:rsid w:val="00B23D5F"/>
    <w:rsid w:val="00B23F28"/>
    <w:rsid w:val="00B241A4"/>
    <w:rsid w:val="00B241E5"/>
    <w:rsid w:val="00B2446A"/>
    <w:rsid w:val="00B245A8"/>
    <w:rsid w:val="00B24BAE"/>
    <w:rsid w:val="00B24F99"/>
    <w:rsid w:val="00B2508F"/>
    <w:rsid w:val="00B250FC"/>
    <w:rsid w:val="00B25709"/>
    <w:rsid w:val="00B257B8"/>
    <w:rsid w:val="00B25CBB"/>
    <w:rsid w:val="00B25E26"/>
    <w:rsid w:val="00B267CA"/>
    <w:rsid w:val="00B270F9"/>
    <w:rsid w:val="00B27AAA"/>
    <w:rsid w:val="00B27C13"/>
    <w:rsid w:val="00B27D20"/>
    <w:rsid w:val="00B27D82"/>
    <w:rsid w:val="00B301D9"/>
    <w:rsid w:val="00B30308"/>
    <w:rsid w:val="00B303CB"/>
    <w:rsid w:val="00B305AE"/>
    <w:rsid w:val="00B30B9E"/>
    <w:rsid w:val="00B30C73"/>
    <w:rsid w:val="00B31625"/>
    <w:rsid w:val="00B316AD"/>
    <w:rsid w:val="00B320B2"/>
    <w:rsid w:val="00B3225F"/>
    <w:rsid w:val="00B32750"/>
    <w:rsid w:val="00B32C9D"/>
    <w:rsid w:val="00B32CF4"/>
    <w:rsid w:val="00B32D0D"/>
    <w:rsid w:val="00B3390C"/>
    <w:rsid w:val="00B33996"/>
    <w:rsid w:val="00B33EEB"/>
    <w:rsid w:val="00B34AA8"/>
    <w:rsid w:val="00B34D87"/>
    <w:rsid w:val="00B352C1"/>
    <w:rsid w:val="00B354C0"/>
    <w:rsid w:val="00B3613E"/>
    <w:rsid w:val="00B36620"/>
    <w:rsid w:val="00B36709"/>
    <w:rsid w:val="00B367E3"/>
    <w:rsid w:val="00B3691E"/>
    <w:rsid w:val="00B36A51"/>
    <w:rsid w:val="00B36D17"/>
    <w:rsid w:val="00B36E5D"/>
    <w:rsid w:val="00B37268"/>
    <w:rsid w:val="00B400E8"/>
    <w:rsid w:val="00B40210"/>
    <w:rsid w:val="00B4089E"/>
    <w:rsid w:val="00B409A6"/>
    <w:rsid w:val="00B40F80"/>
    <w:rsid w:val="00B41CB1"/>
    <w:rsid w:val="00B41E4A"/>
    <w:rsid w:val="00B4253F"/>
    <w:rsid w:val="00B42655"/>
    <w:rsid w:val="00B427F1"/>
    <w:rsid w:val="00B42B6A"/>
    <w:rsid w:val="00B42B9F"/>
    <w:rsid w:val="00B42E8E"/>
    <w:rsid w:val="00B436BE"/>
    <w:rsid w:val="00B43741"/>
    <w:rsid w:val="00B439F4"/>
    <w:rsid w:val="00B441B0"/>
    <w:rsid w:val="00B4498C"/>
    <w:rsid w:val="00B44C82"/>
    <w:rsid w:val="00B44D7D"/>
    <w:rsid w:val="00B4569F"/>
    <w:rsid w:val="00B45776"/>
    <w:rsid w:val="00B46022"/>
    <w:rsid w:val="00B460F5"/>
    <w:rsid w:val="00B46934"/>
    <w:rsid w:val="00B46AD1"/>
    <w:rsid w:val="00B46C50"/>
    <w:rsid w:val="00B471A2"/>
    <w:rsid w:val="00B472C5"/>
    <w:rsid w:val="00B47852"/>
    <w:rsid w:val="00B47ABB"/>
    <w:rsid w:val="00B47D25"/>
    <w:rsid w:val="00B5001D"/>
    <w:rsid w:val="00B50882"/>
    <w:rsid w:val="00B510E2"/>
    <w:rsid w:val="00B516C7"/>
    <w:rsid w:val="00B51B0B"/>
    <w:rsid w:val="00B5210F"/>
    <w:rsid w:val="00B52181"/>
    <w:rsid w:val="00B525B6"/>
    <w:rsid w:val="00B52645"/>
    <w:rsid w:val="00B52750"/>
    <w:rsid w:val="00B52927"/>
    <w:rsid w:val="00B53329"/>
    <w:rsid w:val="00B537A5"/>
    <w:rsid w:val="00B537D5"/>
    <w:rsid w:val="00B53823"/>
    <w:rsid w:val="00B538B5"/>
    <w:rsid w:val="00B53D1A"/>
    <w:rsid w:val="00B53E95"/>
    <w:rsid w:val="00B540BC"/>
    <w:rsid w:val="00B5496E"/>
    <w:rsid w:val="00B54B7E"/>
    <w:rsid w:val="00B54C40"/>
    <w:rsid w:val="00B54ECD"/>
    <w:rsid w:val="00B54F1E"/>
    <w:rsid w:val="00B55203"/>
    <w:rsid w:val="00B554CA"/>
    <w:rsid w:val="00B55501"/>
    <w:rsid w:val="00B55725"/>
    <w:rsid w:val="00B5573F"/>
    <w:rsid w:val="00B557C0"/>
    <w:rsid w:val="00B560EE"/>
    <w:rsid w:val="00B560F3"/>
    <w:rsid w:val="00B5622B"/>
    <w:rsid w:val="00B563E3"/>
    <w:rsid w:val="00B56982"/>
    <w:rsid w:val="00B5724B"/>
    <w:rsid w:val="00B5751F"/>
    <w:rsid w:val="00B57B13"/>
    <w:rsid w:val="00B60155"/>
    <w:rsid w:val="00B60CC7"/>
    <w:rsid w:val="00B60F72"/>
    <w:rsid w:val="00B60F76"/>
    <w:rsid w:val="00B61100"/>
    <w:rsid w:val="00B6124E"/>
    <w:rsid w:val="00B61344"/>
    <w:rsid w:val="00B61588"/>
    <w:rsid w:val="00B61646"/>
    <w:rsid w:val="00B6199F"/>
    <w:rsid w:val="00B61D51"/>
    <w:rsid w:val="00B61D5C"/>
    <w:rsid w:val="00B6217A"/>
    <w:rsid w:val="00B62A33"/>
    <w:rsid w:val="00B637B9"/>
    <w:rsid w:val="00B638B6"/>
    <w:rsid w:val="00B63A5D"/>
    <w:rsid w:val="00B63B78"/>
    <w:rsid w:val="00B6443F"/>
    <w:rsid w:val="00B6484D"/>
    <w:rsid w:val="00B64B0D"/>
    <w:rsid w:val="00B64D45"/>
    <w:rsid w:val="00B6563E"/>
    <w:rsid w:val="00B662F1"/>
    <w:rsid w:val="00B6673A"/>
    <w:rsid w:val="00B672F8"/>
    <w:rsid w:val="00B67B78"/>
    <w:rsid w:val="00B67CCB"/>
    <w:rsid w:val="00B703AC"/>
    <w:rsid w:val="00B709E5"/>
    <w:rsid w:val="00B70B1D"/>
    <w:rsid w:val="00B70CAC"/>
    <w:rsid w:val="00B71327"/>
    <w:rsid w:val="00B71C4F"/>
    <w:rsid w:val="00B71FED"/>
    <w:rsid w:val="00B728D8"/>
    <w:rsid w:val="00B72EC6"/>
    <w:rsid w:val="00B730B5"/>
    <w:rsid w:val="00B73306"/>
    <w:rsid w:val="00B73497"/>
    <w:rsid w:val="00B73711"/>
    <w:rsid w:val="00B74157"/>
    <w:rsid w:val="00B74198"/>
    <w:rsid w:val="00B745E2"/>
    <w:rsid w:val="00B74777"/>
    <w:rsid w:val="00B749E0"/>
    <w:rsid w:val="00B7533B"/>
    <w:rsid w:val="00B75A61"/>
    <w:rsid w:val="00B75F85"/>
    <w:rsid w:val="00B76307"/>
    <w:rsid w:val="00B76777"/>
    <w:rsid w:val="00B768DF"/>
    <w:rsid w:val="00B76B80"/>
    <w:rsid w:val="00B77393"/>
    <w:rsid w:val="00B77AE4"/>
    <w:rsid w:val="00B8044F"/>
    <w:rsid w:val="00B80C36"/>
    <w:rsid w:val="00B80D49"/>
    <w:rsid w:val="00B80E94"/>
    <w:rsid w:val="00B811BE"/>
    <w:rsid w:val="00B81C9C"/>
    <w:rsid w:val="00B81FBD"/>
    <w:rsid w:val="00B82575"/>
    <w:rsid w:val="00B8286C"/>
    <w:rsid w:val="00B83264"/>
    <w:rsid w:val="00B8344B"/>
    <w:rsid w:val="00B8388E"/>
    <w:rsid w:val="00B838DE"/>
    <w:rsid w:val="00B83A6F"/>
    <w:rsid w:val="00B83B02"/>
    <w:rsid w:val="00B844E2"/>
    <w:rsid w:val="00B8491D"/>
    <w:rsid w:val="00B84BC3"/>
    <w:rsid w:val="00B84D9F"/>
    <w:rsid w:val="00B84F08"/>
    <w:rsid w:val="00B85640"/>
    <w:rsid w:val="00B856C4"/>
    <w:rsid w:val="00B85DC0"/>
    <w:rsid w:val="00B85E35"/>
    <w:rsid w:val="00B85FB8"/>
    <w:rsid w:val="00B860AF"/>
    <w:rsid w:val="00B86441"/>
    <w:rsid w:val="00B86D17"/>
    <w:rsid w:val="00B86E8A"/>
    <w:rsid w:val="00B86FFD"/>
    <w:rsid w:val="00B87060"/>
    <w:rsid w:val="00B87822"/>
    <w:rsid w:val="00B9006A"/>
    <w:rsid w:val="00B90145"/>
    <w:rsid w:val="00B90178"/>
    <w:rsid w:val="00B90218"/>
    <w:rsid w:val="00B9071F"/>
    <w:rsid w:val="00B90D7C"/>
    <w:rsid w:val="00B91A35"/>
    <w:rsid w:val="00B91D09"/>
    <w:rsid w:val="00B925FA"/>
    <w:rsid w:val="00B927C4"/>
    <w:rsid w:val="00B92A89"/>
    <w:rsid w:val="00B92B46"/>
    <w:rsid w:val="00B92F43"/>
    <w:rsid w:val="00B92F77"/>
    <w:rsid w:val="00B93421"/>
    <w:rsid w:val="00B93616"/>
    <w:rsid w:val="00B93671"/>
    <w:rsid w:val="00B94265"/>
    <w:rsid w:val="00B947C6"/>
    <w:rsid w:val="00B94DA7"/>
    <w:rsid w:val="00B954C8"/>
    <w:rsid w:val="00B955C1"/>
    <w:rsid w:val="00B95952"/>
    <w:rsid w:val="00B961B3"/>
    <w:rsid w:val="00B966E2"/>
    <w:rsid w:val="00B96FE7"/>
    <w:rsid w:val="00B9709B"/>
    <w:rsid w:val="00B9746E"/>
    <w:rsid w:val="00B975EF"/>
    <w:rsid w:val="00B97652"/>
    <w:rsid w:val="00B97B23"/>
    <w:rsid w:val="00B97DEF"/>
    <w:rsid w:val="00BA00E4"/>
    <w:rsid w:val="00BA0A92"/>
    <w:rsid w:val="00BA0DAF"/>
    <w:rsid w:val="00BA0E95"/>
    <w:rsid w:val="00BA0E9E"/>
    <w:rsid w:val="00BA1E8B"/>
    <w:rsid w:val="00BA2890"/>
    <w:rsid w:val="00BA3070"/>
    <w:rsid w:val="00BA32AC"/>
    <w:rsid w:val="00BA3C59"/>
    <w:rsid w:val="00BA3F8E"/>
    <w:rsid w:val="00BA542D"/>
    <w:rsid w:val="00BA5ECB"/>
    <w:rsid w:val="00BA5F33"/>
    <w:rsid w:val="00BA678A"/>
    <w:rsid w:val="00BA695D"/>
    <w:rsid w:val="00BA6996"/>
    <w:rsid w:val="00BA6AB1"/>
    <w:rsid w:val="00BA6C00"/>
    <w:rsid w:val="00BA6CB4"/>
    <w:rsid w:val="00BA7922"/>
    <w:rsid w:val="00BA7ECD"/>
    <w:rsid w:val="00BA7FF1"/>
    <w:rsid w:val="00BB018B"/>
    <w:rsid w:val="00BB07BE"/>
    <w:rsid w:val="00BB07E0"/>
    <w:rsid w:val="00BB0B36"/>
    <w:rsid w:val="00BB0D82"/>
    <w:rsid w:val="00BB0DD0"/>
    <w:rsid w:val="00BB0FA1"/>
    <w:rsid w:val="00BB1827"/>
    <w:rsid w:val="00BB1AAF"/>
    <w:rsid w:val="00BB1EA3"/>
    <w:rsid w:val="00BB21AF"/>
    <w:rsid w:val="00BB2738"/>
    <w:rsid w:val="00BB292C"/>
    <w:rsid w:val="00BB2BC2"/>
    <w:rsid w:val="00BB2BF1"/>
    <w:rsid w:val="00BB2F53"/>
    <w:rsid w:val="00BB3255"/>
    <w:rsid w:val="00BB3AA3"/>
    <w:rsid w:val="00BB3CB2"/>
    <w:rsid w:val="00BB410D"/>
    <w:rsid w:val="00BB4326"/>
    <w:rsid w:val="00BB4BEE"/>
    <w:rsid w:val="00BB5414"/>
    <w:rsid w:val="00BB54BB"/>
    <w:rsid w:val="00BB54C0"/>
    <w:rsid w:val="00BB5754"/>
    <w:rsid w:val="00BB596E"/>
    <w:rsid w:val="00BB5BA6"/>
    <w:rsid w:val="00BB61DE"/>
    <w:rsid w:val="00BB68A7"/>
    <w:rsid w:val="00BB6F4B"/>
    <w:rsid w:val="00BB7373"/>
    <w:rsid w:val="00BB7BB7"/>
    <w:rsid w:val="00BB7E5A"/>
    <w:rsid w:val="00BC0FB2"/>
    <w:rsid w:val="00BC1484"/>
    <w:rsid w:val="00BC1F0F"/>
    <w:rsid w:val="00BC238F"/>
    <w:rsid w:val="00BC245C"/>
    <w:rsid w:val="00BC2CAF"/>
    <w:rsid w:val="00BC2E6D"/>
    <w:rsid w:val="00BC3797"/>
    <w:rsid w:val="00BC3859"/>
    <w:rsid w:val="00BC3A14"/>
    <w:rsid w:val="00BC3D9C"/>
    <w:rsid w:val="00BC4029"/>
    <w:rsid w:val="00BC43AC"/>
    <w:rsid w:val="00BC4587"/>
    <w:rsid w:val="00BC4C6D"/>
    <w:rsid w:val="00BC529C"/>
    <w:rsid w:val="00BC635E"/>
    <w:rsid w:val="00BC6782"/>
    <w:rsid w:val="00BC69C8"/>
    <w:rsid w:val="00BC6EE5"/>
    <w:rsid w:val="00BC70BA"/>
    <w:rsid w:val="00BC70F4"/>
    <w:rsid w:val="00BC728D"/>
    <w:rsid w:val="00BC744E"/>
    <w:rsid w:val="00BC74F9"/>
    <w:rsid w:val="00BC7801"/>
    <w:rsid w:val="00BC7E0F"/>
    <w:rsid w:val="00BD0BDB"/>
    <w:rsid w:val="00BD215F"/>
    <w:rsid w:val="00BD249C"/>
    <w:rsid w:val="00BD2886"/>
    <w:rsid w:val="00BD2DE1"/>
    <w:rsid w:val="00BD2F96"/>
    <w:rsid w:val="00BD2FCA"/>
    <w:rsid w:val="00BD3301"/>
    <w:rsid w:val="00BD3830"/>
    <w:rsid w:val="00BD3A28"/>
    <w:rsid w:val="00BD3E45"/>
    <w:rsid w:val="00BD3E7D"/>
    <w:rsid w:val="00BD4455"/>
    <w:rsid w:val="00BD4781"/>
    <w:rsid w:val="00BD4C24"/>
    <w:rsid w:val="00BD52A3"/>
    <w:rsid w:val="00BD57DC"/>
    <w:rsid w:val="00BD5CE0"/>
    <w:rsid w:val="00BD5D25"/>
    <w:rsid w:val="00BD6073"/>
    <w:rsid w:val="00BD65D5"/>
    <w:rsid w:val="00BD69DB"/>
    <w:rsid w:val="00BD69FB"/>
    <w:rsid w:val="00BD6E18"/>
    <w:rsid w:val="00BD6EF4"/>
    <w:rsid w:val="00BD7504"/>
    <w:rsid w:val="00BD7A77"/>
    <w:rsid w:val="00BD7AB2"/>
    <w:rsid w:val="00BE0254"/>
    <w:rsid w:val="00BE05DD"/>
    <w:rsid w:val="00BE0F3E"/>
    <w:rsid w:val="00BE1EA3"/>
    <w:rsid w:val="00BE2029"/>
    <w:rsid w:val="00BE26BE"/>
    <w:rsid w:val="00BE2946"/>
    <w:rsid w:val="00BE308B"/>
    <w:rsid w:val="00BE31C1"/>
    <w:rsid w:val="00BE3257"/>
    <w:rsid w:val="00BE33B2"/>
    <w:rsid w:val="00BE34C4"/>
    <w:rsid w:val="00BE39A8"/>
    <w:rsid w:val="00BE3AE0"/>
    <w:rsid w:val="00BE3FA4"/>
    <w:rsid w:val="00BE40DE"/>
    <w:rsid w:val="00BE433A"/>
    <w:rsid w:val="00BE475F"/>
    <w:rsid w:val="00BE4A26"/>
    <w:rsid w:val="00BE50D9"/>
    <w:rsid w:val="00BE50F7"/>
    <w:rsid w:val="00BE519E"/>
    <w:rsid w:val="00BE525C"/>
    <w:rsid w:val="00BE5844"/>
    <w:rsid w:val="00BE5BA7"/>
    <w:rsid w:val="00BE5DB0"/>
    <w:rsid w:val="00BE61DA"/>
    <w:rsid w:val="00BE64BF"/>
    <w:rsid w:val="00BE6921"/>
    <w:rsid w:val="00BE7217"/>
    <w:rsid w:val="00BE725D"/>
    <w:rsid w:val="00BE7AAD"/>
    <w:rsid w:val="00BF023B"/>
    <w:rsid w:val="00BF0299"/>
    <w:rsid w:val="00BF0C0B"/>
    <w:rsid w:val="00BF0E47"/>
    <w:rsid w:val="00BF0F7E"/>
    <w:rsid w:val="00BF1CC8"/>
    <w:rsid w:val="00BF1E41"/>
    <w:rsid w:val="00BF2475"/>
    <w:rsid w:val="00BF26A0"/>
    <w:rsid w:val="00BF2CB7"/>
    <w:rsid w:val="00BF3223"/>
    <w:rsid w:val="00BF370D"/>
    <w:rsid w:val="00BF3DDE"/>
    <w:rsid w:val="00BF3F40"/>
    <w:rsid w:val="00BF481B"/>
    <w:rsid w:val="00BF482C"/>
    <w:rsid w:val="00BF4940"/>
    <w:rsid w:val="00BF4B53"/>
    <w:rsid w:val="00BF4E02"/>
    <w:rsid w:val="00BF4EA4"/>
    <w:rsid w:val="00BF54BD"/>
    <w:rsid w:val="00BF5AEA"/>
    <w:rsid w:val="00BF675B"/>
    <w:rsid w:val="00BF6831"/>
    <w:rsid w:val="00BF6DD5"/>
    <w:rsid w:val="00BF70F1"/>
    <w:rsid w:val="00BF71FE"/>
    <w:rsid w:val="00BF7532"/>
    <w:rsid w:val="00BF76AD"/>
    <w:rsid w:val="00BF7D55"/>
    <w:rsid w:val="00C00145"/>
    <w:rsid w:val="00C008F1"/>
    <w:rsid w:val="00C00CCB"/>
    <w:rsid w:val="00C00FB7"/>
    <w:rsid w:val="00C0103F"/>
    <w:rsid w:val="00C01403"/>
    <w:rsid w:val="00C0144F"/>
    <w:rsid w:val="00C021E1"/>
    <w:rsid w:val="00C02641"/>
    <w:rsid w:val="00C0275F"/>
    <w:rsid w:val="00C028DB"/>
    <w:rsid w:val="00C028EB"/>
    <w:rsid w:val="00C02931"/>
    <w:rsid w:val="00C02ACB"/>
    <w:rsid w:val="00C02B78"/>
    <w:rsid w:val="00C03B24"/>
    <w:rsid w:val="00C0404E"/>
    <w:rsid w:val="00C042DF"/>
    <w:rsid w:val="00C04728"/>
    <w:rsid w:val="00C04805"/>
    <w:rsid w:val="00C049CD"/>
    <w:rsid w:val="00C04C06"/>
    <w:rsid w:val="00C04D60"/>
    <w:rsid w:val="00C056A1"/>
    <w:rsid w:val="00C0588B"/>
    <w:rsid w:val="00C059E8"/>
    <w:rsid w:val="00C06137"/>
    <w:rsid w:val="00C0694B"/>
    <w:rsid w:val="00C0764A"/>
    <w:rsid w:val="00C07703"/>
    <w:rsid w:val="00C07799"/>
    <w:rsid w:val="00C077E4"/>
    <w:rsid w:val="00C07DCF"/>
    <w:rsid w:val="00C102AC"/>
    <w:rsid w:val="00C1079C"/>
    <w:rsid w:val="00C1094F"/>
    <w:rsid w:val="00C11473"/>
    <w:rsid w:val="00C11528"/>
    <w:rsid w:val="00C116FF"/>
    <w:rsid w:val="00C11DCB"/>
    <w:rsid w:val="00C12134"/>
    <w:rsid w:val="00C12278"/>
    <w:rsid w:val="00C126EE"/>
    <w:rsid w:val="00C12970"/>
    <w:rsid w:val="00C1302B"/>
    <w:rsid w:val="00C13C68"/>
    <w:rsid w:val="00C13E02"/>
    <w:rsid w:val="00C14952"/>
    <w:rsid w:val="00C14B93"/>
    <w:rsid w:val="00C14D09"/>
    <w:rsid w:val="00C15301"/>
    <w:rsid w:val="00C15803"/>
    <w:rsid w:val="00C15AA6"/>
    <w:rsid w:val="00C163FF"/>
    <w:rsid w:val="00C16553"/>
    <w:rsid w:val="00C165C0"/>
    <w:rsid w:val="00C17080"/>
    <w:rsid w:val="00C17353"/>
    <w:rsid w:val="00C1741D"/>
    <w:rsid w:val="00C20166"/>
    <w:rsid w:val="00C202B1"/>
    <w:rsid w:val="00C20A73"/>
    <w:rsid w:val="00C213A5"/>
    <w:rsid w:val="00C219A3"/>
    <w:rsid w:val="00C21BC3"/>
    <w:rsid w:val="00C21E60"/>
    <w:rsid w:val="00C220AB"/>
    <w:rsid w:val="00C224A5"/>
    <w:rsid w:val="00C230C0"/>
    <w:rsid w:val="00C23951"/>
    <w:rsid w:val="00C23F87"/>
    <w:rsid w:val="00C24389"/>
    <w:rsid w:val="00C243A9"/>
    <w:rsid w:val="00C243E0"/>
    <w:rsid w:val="00C24676"/>
    <w:rsid w:val="00C24839"/>
    <w:rsid w:val="00C24B9F"/>
    <w:rsid w:val="00C24BBE"/>
    <w:rsid w:val="00C24BCA"/>
    <w:rsid w:val="00C25144"/>
    <w:rsid w:val="00C252B0"/>
    <w:rsid w:val="00C258D8"/>
    <w:rsid w:val="00C261CE"/>
    <w:rsid w:val="00C26233"/>
    <w:rsid w:val="00C262C9"/>
    <w:rsid w:val="00C2697B"/>
    <w:rsid w:val="00C269E8"/>
    <w:rsid w:val="00C26A58"/>
    <w:rsid w:val="00C27454"/>
    <w:rsid w:val="00C2767A"/>
    <w:rsid w:val="00C27CB5"/>
    <w:rsid w:val="00C30AB8"/>
    <w:rsid w:val="00C30EB0"/>
    <w:rsid w:val="00C3125B"/>
    <w:rsid w:val="00C312B5"/>
    <w:rsid w:val="00C31EB3"/>
    <w:rsid w:val="00C3208D"/>
    <w:rsid w:val="00C321A2"/>
    <w:rsid w:val="00C329F7"/>
    <w:rsid w:val="00C32B4F"/>
    <w:rsid w:val="00C32E8B"/>
    <w:rsid w:val="00C3300C"/>
    <w:rsid w:val="00C33489"/>
    <w:rsid w:val="00C337D2"/>
    <w:rsid w:val="00C338FC"/>
    <w:rsid w:val="00C3392D"/>
    <w:rsid w:val="00C33C81"/>
    <w:rsid w:val="00C33DD2"/>
    <w:rsid w:val="00C34259"/>
    <w:rsid w:val="00C34546"/>
    <w:rsid w:val="00C348F5"/>
    <w:rsid w:val="00C34ADB"/>
    <w:rsid w:val="00C34BDA"/>
    <w:rsid w:val="00C34D2E"/>
    <w:rsid w:val="00C35327"/>
    <w:rsid w:val="00C35A14"/>
    <w:rsid w:val="00C35F22"/>
    <w:rsid w:val="00C36677"/>
    <w:rsid w:val="00C3760D"/>
    <w:rsid w:val="00C37783"/>
    <w:rsid w:val="00C37A8C"/>
    <w:rsid w:val="00C37DAA"/>
    <w:rsid w:val="00C4086D"/>
    <w:rsid w:val="00C40A5E"/>
    <w:rsid w:val="00C414CA"/>
    <w:rsid w:val="00C41562"/>
    <w:rsid w:val="00C417FB"/>
    <w:rsid w:val="00C418C3"/>
    <w:rsid w:val="00C4194E"/>
    <w:rsid w:val="00C41B30"/>
    <w:rsid w:val="00C41FB6"/>
    <w:rsid w:val="00C4216B"/>
    <w:rsid w:val="00C425B7"/>
    <w:rsid w:val="00C42BE0"/>
    <w:rsid w:val="00C42D39"/>
    <w:rsid w:val="00C42D60"/>
    <w:rsid w:val="00C4308F"/>
    <w:rsid w:val="00C43777"/>
    <w:rsid w:val="00C43F80"/>
    <w:rsid w:val="00C43FAA"/>
    <w:rsid w:val="00C44132"/>
    <w:rsid w:val="00C4416B"/>
    <w:rsid w:val="00C44329"/>
    <w:rsid w:val="00C44A39"/>
    <w:rsid w:val="00C44D22"/>
    <w:rsid w:val="00C45358"/>
    <w:rsid w:val="00C454AE"/>
    <w:rsid w:val="00C457A3"/>
    <w:rsid w:val="00C45D51"/>
    <w:rsid w:val="00C464E5"/>
    <w:rsid w:val="00C4655E"/>
    <w:rsid w:val="00C4713A"/>
    <w:rsid w:val="00C47487"/>
    <w:rsid w:val="00C47B06"/>
    <w:rsid w:val="00C47C31"/>
    <w:rsid w:val="00C47F4E"/>
    <w:rsid w:val="00C5030C"/>
    <w:rsid w:val="00C503F1"/>
    <w:rsid w:val="00C504DF"/>
    <w:rsid w:val="00C50821"/>
    <w:rsid w:val="00C51914"/>
    <w:rsid w:val="00C51B34"/>
    <w:rsid w:val="00C51BBC"/>
    <w:rsid w:val="00C52269"/>
    <w:rsid w:val="00C526D2"/>
    <w:rsid w:val="00C52743"/>
    <w:rsid w:val="00C52781"/>
    <w:rsid w:val="00C528A5"/>
    <w:rsid w:val="00C52A08"/>
    <w:rsid w:val="00C52A0D"/>
    <w:rsid w:val="00C52AC9"/>
    <w:rsid w:val="00C52FD9"/>
    <w:rsid w:val="00C52FF9"/>
    <w:rsid w:val="00C5334F"/>
    <w:rsid w:val="00C5398C"/>
    <w:rsid w:val="00C53CA1"/>
    <w:rsid w:val="00C53E36"/>
    <w:rsid w:val="00C547EA"/>
    <w:rsid w:val="00C54BC5"/>
    <w:rsid w:val="00C54FAE"/>
    <w:rsid w:val="00C55268"/>
    <w:rsid w:val="00C5560B"/>
    <w:rsid w:val="00C55C4F"/>
    <w:rsid w:val="00C55D22"/>
    <w:rsid w:val="00C55FCE"/>
    <w:rsid w:val="00C5690B"/>
    <w:rsid w:val="00C56E0E"/>
    <w:rsid w:val="00C56E6F"/>
    <w:rsid w:val="00C5728C"/>
    <w:rsid w:val="00C57C86"/>
    <w:rsid w:val="00C57D90"/>
    <w:rsid w:val="00C60048"/>
    <w:rsid w:val="00C60807"/>
    <w:rsid w:val="00C60916"/>
    <w:rsid w:val="00C60CF9"/>
    <w:rsid w:val="00C610CD"/>
    <w:rsid w:val="00C613B8"/>
    <w:rsid w:val="00C6150A"/>
    <w:rsid w:val="00C61AD1"/>
    <w:rsid w:val="00C61D5B"/>
    <w:rsid w:val="00C62023"/>
    <w:rsid w:val="00C62706"/>
    <w:rsid w:val="00C62B82"/>
    <w:rsid w:val="00C634EE"/>
    <w:rsid w:val="00C6372C"/>
    <w:rsid w:val="00C637E9"/>
    <w:rsid w:val="00C63B02"/>
    <w:rsid w:val="00C641EC"/>
    <w:rsid w:val="00C64206"/>
    <w:rsid w:val="00C64438"/>
    <w:rsid w:val="00C64C02"/>
    <w:rsid w:val="00C64F31"/>
    <w:rsid w:val="00C650D3"/>
    <w:rsid w:val="00C65349"/>
    <w:rsid w:val="00C655AF"/>
    <w:rsid w:val="00C65899"/>
    <w:rsid w:val="00C65A50"/>
    <w:rsid w:val="00C661D4"/>
    <w:rsid w:val="00C66902"/>
    <w:rsid w:val="00C66CB4"/>
    <w:rsid w:val="00C67061"/>
    <w:rsid w:val="00C6711C"/>
    <w:rsid w:val="00C67220"/>
    <w:rsid w:val="00C6752F"/>
    <w:rsid w:val="00C67812"/>
    <w:rsid w:val="00C67B0A"/>
    <w:rsid w:val="00C67B13"/>
    <w:rsid w:val="00C67B28"/>
    <w:rsid w:val="00C67E37"/>
    <w:rsid w:val="00C67F94"/>
    <w:rsid w:val="00C7002D"/>
    <w:rsid w:val="00C708EE"/>
    <w:rsid w:val="00C709C7"/>
    <w:rsid w:val="00C70A43"/>
    <w:rsid w:val="00C70C1C"/>
    <w:rsid w:val="00C70D93"/>
    <w:rsid w:val="00C70E06"/>
    <w:rsid w:val="00C70F66"/>
    <w:rsid w:val="00C70F86"/>
    <w:rsid w:val="00C7136E"/>
    <w:rsid w:val="00C71635"/>
    <w:rsid w:val="00C7181F"/>
    <w:rsid w:val="00C71888"/>
    <w:rsid w:val="00C71F34"/>
    <w:rsid w:val="00C72462"/>
    <w:rsid w:val="00C7254E"/>
    <w:rsid w:val="00C726B0"/>
    <w:rsid w:val="00C737B7"/>
    <w:rsid w:val="00C73E45"/>
    <w:rsid w:val="00C73F1B"/>
    <w:rsid w:val="00C741B5"/>
    <w:rsid w:val="00C74582"/>
    <w:rsid w:val="00C75893"/>
    <w:rsid w:val="00C7597D"/>
    <w:rsid w:val="00C75A1E"/>
    <w:rsid w:val="00C7692F"/>
    <w:rsid w:val="00C76D5D"/>
    <w:rsid w:val="00C77613"/>
    <w:rsid w:val="00C77D39"/>
    <w:rsid w:val="00C77F39"/>
    <w:rsid w:val="00C80A88"/>
    <w:rsid w:val="00C80C70"/>
    <w:rsid w:val="00C81067"/>
    <w:rsid w:val="00C81543"/>
    <w:rsid w:val="00C81848"/>
    <w:rsid w:val="00C8186F"/>
    <w:rsid w:val="00C81BDB"/>
    <w:rsid w:val="00C82E96"/>
    <w:rsid w:val="00C831BC"/>
    <w:rsid w:val="00C83691"/>
    <w:rsid w:val="00C83D4F"/>
    <w:rsid w:val="00C83F54"/>
    <w:rsid w:val="00C83F66"/>
    <w:rsid w:val="00C840F2"/>
    <w:rsid w:val="00C845FE"/>
    <w:rsid w:val="00C846BB"/>
    <w:rsid w:val="00C84873"/>
    <w:rsid w:val="00C84A66"/>
    <w:rsid w:val="00C84E96"/>
    <w:rsid w:val="00C84F60"/>
    <w:rsid w:val="00C85477"/>
    <w:rsid w:val="00C857FA"/>
    <w:rsid w:val="00C85899"/>
    <w:rsid w:val="00C85B3F"/>
    <w:rsid w:val="00C85F55"/>
    <w:rsid w:val="00C862F7"/>
    <w:rsid w:val="00C864C3"/>
    <w:rsid w:val="00C865BB"/>
    <w:rsid w:val="00C86A11"/>
    <w:rsid w:val="00C86A27"/>
    <w:rsid w:val="00C86CE3"/>
    <w:rsid w:val="00C872FC"/>
    <w:rsid w:val="00C8742C"/>
    <w:rsid w:val="00C878B1"/>
    <w:rsid w:val="00C87DCC"/>
    <w:rsid w:val="00C87EBE"/>
    <w:rsid w:val="00C90836"/>
    <w:rsid w:val="00C90F9A"/>
    <w:rsid w:val="00C914DB"/>
    <w:rsid w:val="00C9183E"/>
    <w:rsid w:val="00C91956"/>
    <w:rsid w:val="00C91D23"/>
    <w:rsid w:val="00C92180"/>
    <w:rsid w:val="00C925C8"/>
    <w:rsid w:val="00C925D8"/>
    <w:rsid w:val="00C92750"/>
    <w:rsid w:val="00C92D43"/>
    <w:rsid w:val="00C93301"/>
    <w:rsid w:val="00C93765"/>
    <w:rsid w:val="00C939D9"/>
    <w:rsid w:val="00C93A09"/>
    <w:rsid w:val="00C93C49"/>
    <w:rsid w:val="00C9468E"/>
    <w:rsid w:val="00C94957"/>
    <w:rsid w:val="00C950E8"/>
    <w:rsid w:val="00C952D0"/>
    <w:rsid w:val="00C952D6"/>
    <w:rsid w:val="00C954EA"/>
    <w:rsid w:val="00C95FC8"/>
    <w:rsid w:val="00C960E8"/>
    <w:rsid w:val="00C961A6"/>
    <w:rsid w:val="00C96413"/>
    <w:rsid w:val="00C96676"/>
    <w:rsid w:val="00C97202"/>
    <w:rsid w:val="00C9728D"/>
    <w:rsid w:val="00C97476"/>
    <w:rsid w:val="00C974DA"/>
    <w:rsid w:val="00C97711"/>
    <w:rsid w:val="00C97DF6"/>
    <w:rsid w:val="00CA01EC"/>
    <w:rsid w:val="00CA02F5"/>
    <w:rsid w:val="00CA043D"/>
    <w:rsid w:val="00CA084F"/>
    <w:rsid w:val="00CA085D"/>
    <w:rsid w:val="00CA0BEE"/>
    <w:rsid w:val="00CA1826"/>
    <w:rsid w:val="00CA221F"/>
    <w:rsid w:val="00CA25A6"/>
    <w:rsid w:val="00CA25FD"/>
    <w:rsid w:val="00CA2788"/>
    <w:rsid w:val="00CA2913"/>
    <w:rsid w:val="00CA30EA"/>
    <w:rsid w:val="00CA336F"/>
    <w:rsid w:val="00CA380C"/>
    <w:rsid w:val="00CA3C7C"/>
    <w:rsid w:val="00CA3D37"/>
    <w:rsid w:val="00CA3F81"/>
    <w:rsid w:val="00CA49A7"/>
    <w:rsid w:val="00CA4E0A"/>
    <w:rsid w:val="00CA547C"/>
    <w:rsid w:val="00CA57C9"/>
    <w:rsid w:val="00CA60BC"/>
    <w:rsid w:val="00CA669B"/>
    <w:rsid w:val="00CA7158"/>
    <w:rsid w:val="00CA75F3"/>
    <w:rsid w:val="00CA7956"/>
    <w:rsid w:val="00CA7984"/>
    <w:rsid w:val="00CA7AC8"/>
    <w:rsid w:val="00CB03CF"/>
    <w:rsid w:val="00CB15CE"/>
    <w:rsid w:val="00CB17C0"/>
    <w:rsid w:val="00CB17F4"/>
    <w:rsid w:val="00CB1819"/>
    <w:rsid w:val="00CB195E"/>
    <w:rsid w:val="00CB197D"/>
    <w:rsid w:val="00CB1B48"/>
    <w:rsid w:val="00CB1D0A"/>
    <w:rsid w:val="00CB205F"/>
    <w:rsid w:val="00CB279D"/>
    <w:rsid w:val="00CB2956"/>
    <w:rsid w:val="00CB2A09"/>
    <w:rsid w:val="00CB2AEB"/>
    <w:rsid w:val="00CB3DBC"/>
    <w:rsid w:val="00CB3E08"/>
    <w:rsid w:val="00CB46F6"/>
    <w:rsid w:val="00CB475E"/>
    <w:rsid w:val="00CB4CAD"/>
    <w:rsid w:val="00CB5126"/>
    <w:rsid w:val="00CB58F4"/>
    <w:rsid w:val="00CB5D3D"/>
    <w:rsid w:val="00CB5EEE"/>
    <w:rsid w:val="00CB60A3"/>
    <w:rsid w:val="00CB61E9"/>
    <w:rsid w:val="00CB6253"/>
    <w:rsid w:val="00CB6AF1"/>
    <w:rsid w:val="00CB76FC"/>
    <w:rsid w:val="00CB7DD5"/>
    <w:rsid w:val="00CC007A"/>
    <w:rsid w:val="00CC0206"/>
    <w:rsid w:val="00CC0E10"/>
    <w:rsid w:val="00CC14F4"/>
    <w:rsid w:val="00CC15D5"/>
    <w:rsid w:val="00CC1629"/>
    <w:rsid w:val="00CC2094"/>
    <w:rsid w:val="00CC20AD"/>
    <w:rsid w:val="00CC2447"/>
    <w:rsid w:val="00CC3052"/>
    <w:rsid w:val="00CC327D"/>
    <w:rsid w:val="00CC391A"/>
    <w:rsid w:val="00CC3AAA"/>
    <w:rsid w:val="00CC4595"/>
    <w:rsid w:val="00CC4600"/>
    <w:rsid w:val="00CC475E"/>
    <w:rsid w:val="00CC4B8D"/>
    <w:rsid w:val="00CC4D38"/>
    <w:rsid w:val="00CC4D63"/>
    <w:rsid w:val="00CC4DF6"/>
    <w:rsid w:val="00CC4F19"/>
    <w:rsid w:val="00CC4F43"/>
    <w:rsid w:val="00CC5EE8"/>
    <w:rsid w:val="00CC6599"/>
    <w:rsid w:val="00CC665E"/>
    <w:rsid w:val="00CC6772"/>
    <w:rsid w:val="00CC7002"/>
    <w:rsid w:val="00CC7092"/>
    <w:rsid w:val="00CC747C"/>
    <w:rsid w:val="00CC761E"/>
    <w:rsid w:val="00CC77F3"/>
    <w:rsid w:val="00CD002A"/>
    <w:rsid w:val="00CD0AA8"/>
    <w:rsid w:val="00CD1FD0"/>
    <w:rsid w:val="00CD268A"/>
    <w:rsid w:val="00CD269B"/>
    <w:rsid w:val="00CD26F1"/>
    <w:rsid w:val="00CD2A1A"/>
    <w:rsid w:val="00CD2B9C"/>
    <w:rsid w:val="00CD2F03"/>
    <w:rsid w:val="00CD2FFC"/>
    <w:rsid w:val="00CD312E"/>
    <w:rsid w:val="00CD36FB"/>
    <w:rsid w:val="00CD3947"/>
    <w:rsid w:val="00CD39DA"/>
    <w:rsid w:val="00CD437F"/>
    <w:rsid w:val="00CD43E0"/>
    <w:rsid w:val="00CD4443"/>
    <w:rsid w:val="00CD4D04"/>
    <w:rsid w:val="00CD5606"/>
    <w:rsid w:val="00CD57CB"/>
    <w:rsid w:val="00CD5D7B"/>
    <w:rsid w:val="00CD6439"/>
    <w:rsid w:val="00CD6678"/>
    <w:rsid w:val="00CD6FC6"/>
    <w:rsid w:val="00CD7270"/>
    <w:rsid w:val="00CD771F"/>
    <w:rsid w:val="00CD7A67"/>
    <w:rsid w:val="00CD7FBE"/>
    <w:rsid w:val="00CE0448"/>
    <w:rsid w:val="00CE06D5"/>
    <w:rsid w:val="00CE0947"/>
    <w:rsid w:val="00CE10ED"/>
    <w:rsid w:val="00CE15ED"/>
    <w:rsid w:val="00CE1C61"/>
    <w:rsid w:val="00CE1FC5"/>
    <w:rsid w:val="00CE2075"/>
    <w:rsid w:val="00CE2142"/>
    <w:rsid w:val="00CE2BB2"/>
    <w:rsid w:val="00CE3078"/>
    <w:rsid w:val="00CE3113"/>
    <w:rsid w:val="00CE31B2"/>
    <w:rsid w:val="00CE3312"/>
    <w:rsid w:val="00CE340F"/>
    <w:rsid w:val="00CE3AAA"/>
    <w:rsid w:val="00CE478A"/>
    <w:rsid w:val="00CE4841"/>
    <w:rsid w:val="00CE4DB9"/>
    <w:rsid w:val="00CE4EE5"/>
    <w:rsid w:val="00CE50CC"/>
    <w:rsid w:val="00CE52E2"/>
    <w:rsid w:val="00CE53AB"/>
    <w:rsid w:val="00CE540E"/>
    <w:rsid w:val="00CE544B"/>
    <w:rsid w:val="00CE59A2"/>
    <w:rsid w:val="00CE59B9"/>
    <w:rsid w:val="00CE62F8"/>
    <w:rsid w:val="00CE64B0"/>
    <w:rsid w:val="00CE715D"/>
    <w:rsid w:val="00CE732F"/>
    <w:rsid w:val="00CE73DF"/>
    <w:rsid w:val="00CE7F57"/>
    <w:rsid w:val="00CF00DD"/>
    <w:rsid w:val="00CF0297"/>
    <w:rsid w:val="00CF02AA"/>
    <w:rsid w:val="00CF08DA"/>
    <w:rsid w:val="00CF145F"/>
    <w:rsid w:val="00CF226B"/>
    <w:rsid w:val="00CF2DE6"/>
    <w:rsid w:val="00CF2FA5"/>
    <w:rsid w:val="00CF37EA"/>
    <w:rsid w:val="00CF46EF"/>
    <w:rsid w:val="00CF4762"/>
    <w:rsid w:val="00CF4E50"/>
    <w:rsid w:val="00CF4E97"/>
    <w:rsid w:val="00CF6541"/>
    <w:rsid w:val="00CF66FB"/>
    <w:rsid w:val="00CF6BB9"/>
    <w:rsid w:val="00CF722C"/>
    <w:rsid w:val="00CF743F"/>
    <w:rsid w:val="00CF7F7F"/>
    <w:rsid w:val="00D00154"/>
    <w:rsid w:val="00D008D1"/>
    <w:rsid w:val="00D00922"/>
    <w:rsid w:val="00D009D2"/>
    <w:rsid w:val="00D00E2A"/>
    <w:rsid w:val="00D01788"/>
    <w:rsid w:val="00D01C01"/>
    <w:rsid w:val="00D01D31"/>
    <w:rsid w:val="00D02021"/>
    <w:rsid w:val="00D02033"/>
    <w:rsid w:val="00D02091"/>
    <w:rsid w:val="00D02307"/>
    <w:rsid w:val="00D026CA"/>
    <w:rsid w:val="00D028BB"/>
    <w:rsid w:val="00D02BE7"/>
    <w:rsid w:val="00D02E81"/>
    <w:rsid w:val="00D031DD"/>
    <w:rsid w:val="00D03433"/>
    <w:rsid w:val="00D04CD6"/>
    <w:rsid w:val="00D0548F"/>
    <w:rsid w:val="00D05B10"/>
    <w:rsid w:val="00D05B26"/>
    <w:rsid w:val="00D05E76"/>
    <w:rsid w:val="00D05F62"/>
    <w:rsid w:val="00D068CE"/>
    <w:rsid w:val="00D06A83"/>
    <w:rsid w:val="00D07C04"/>
    <w:rsid w:val="00D100AD"/>
    <w:rsid w:val="00D10AAF"/>
    <w:rsid w:val="00D11284"/>
    <w:rsid w:val="00D113F7"/>
    <w:rsid w:val="00D11AC1"/>
    <w:rsid w:val="00D11ACF"/>
    <w:rsid w:val="00D11E45"/>
    <w:rsid w:val="00D11F44"/>
    <w:rsid w:val="00D12558"/>
    <w:rsid w:val="00D12675"/>
    <w:rsid w:val="00D12863"/>
    <w:rsid w:val="00D12A3F"/>
    <w:rsid w:val="00D13133"/>
    <w:rsid w:val="00D13327"/>
    <w:rsid w:val="00D133AA"/>
    <w:rsid w:val="00D136A3"/>
    <w:rsid w:val="00D13CDB"/>
    <w:rsid w:val="00D13EA0"/>
    <w:rsid w:val="00D14AD3"/>
    <w:rsid w:val="00D14C48"/>
    <w:rsid w:val="00D14F53"/>
    <w:rsid w:val="00D15183"/>
    <w:rsid w:val="00D1609F"/>
    <w:rsid w:val="00D16268"/>
    <w:rsid w:val="00D16BA4"/>
    <w:rsid w:val="00D16F9C"/>
    <w:rsid w:val="00D17255"/>
    <w:rsid w:val="00D17B40"/>
    <w:rsid w:val="00D17CAF"/>
    <w:rsid w:val="00D17FD8"/>
    <w:rsid w:val="00D20142"/>
    <w:rsid w:val="00D207FE"/>
    <w:rsid w:val="00D20A8E"/>
    <w:rsid w:val="00D20BA6"/>
    <w:rsid w:val="00D20CD2"/>
    <w:rsid w:val="00D20EC2"/>
    <w:rsid w:val="00D21144"/>
    <w:rsid w:val="00D21E54"/>
    <w:rsid w:val="00D2204B"/>
    <w:rsid w:val="00D2266D"/>
    <w:rsid w:val="00D22BA2"/>
    <w:rsid w:val="00D22D77"/>
    <w:rsid w:val="00D231C5"/>
    <w:rsid w:val="00D234F0"/>
    <w:rsid w:val="00D2363E"/>
    <w:rsid w:val="00D240FF"/>
    <w:rsid w:val="00D241F0"/>
    <w:rsid w:val="00D249B5"/>
    <w:rsid w:val="00D24DF2"/>
    <w:rsid w:val="00D25539"/>
    <w:rsid w:val="00D25976"/>
    <w:rsid w:val="00D25BD6"/>
    <w:rsid w:val="00D2622D"/>
    <w:rsid w:val="00D262EF"/>
    <w:rsid w:val="00D2657E"/>
    <w:rsid w:val="00D2777D"/>
    <w:rsid w:val="00D30D9D"/>
    <w:rsid w:val="00D31450"/>
    <w:rsid w:val="00D31C7E"/>
    <w:rsid w:val="00D32006"/>
    <w:rsid w:val="00D333E1"/>
    <w:rsid w:val="00D336CB"/>
    <w:rsid w:val="00D3392C"/>
    <w:rsid w:val="00D340EA"/>
    <w:rsid w:val="00D3442C"/>
    <w:rsid w:val="00D346D7"/>
    <w:rsid w:val="00D34CB1"/>
    <w:rsid w:val="00D35668"/>
    <w:rsid w:val="00D35BC5"/>
    <w:rsid w:val="00D35F82"/>
    <w:rsid w:val="00D36402"/>
    <w:rsid w:val="00D36736"/>
    <w:rsid w:val="00D36CCB"/>
    <w:rsid w:val="00D36D44"/>
    <w:rsid w:val="00D36E63"/>
    <w:rsid w:val="00D374B9"/>
    <w:rsid w:val="00D37805"/>
    <w:rsid w:val="00D37921"/>
    <w:rsid w:val="00D37F8F"/>
    <w:rsid w:val="00D37FD2"/>
    <w:rsid w:val="00D4044E"/>
    <w:rsid w:val="00D409A8"/>
    <w:rsid w:val="00D40ADC"/>
    <w:rsid w:val="00D40AE0"/>
    <w:rsid w:val="00D40EE5"/>
    <w:rsid w:val="00D411D1"/>
    <w:rsid w:val="00D41A9D"/>
    <w:rsid w:val="00D42B5F"/>
    <w:rsid w:val="00D4377E"/>
    <w:rsid w:val="00D43E98"/>
    <w:rsid w:val="00D44023"/>
    <w:rsid w:val="00D44138"/>
    <w:rsid w:val="00D44279"/>
    <w:rsid w:val="00D44389"/>
    <w:rsid w:val="00D44A3B"/>
    <w:rsid w:val="00D45348"/>
    <w:rsid w:val="00D45902"/>
    <w:rsid w:val="00D45E1C"/>
    <w:rsid w:val="00D46838"/>
    <w:rsid w:val="00D46B24"/>
    <w:rsid w:val="00D46D81"/>
    <w:rsid w:val="00D472B1"/>
    <w:rsid w:val="00D475C4"/>
    <w:rsid w:val="00D47AA4"/>
    <w:rsid w:val="00D47D77"/>
    <w:rsid w:val="00D50515"/>
    <w:rsid w:val="00D505EE"/>
    <w:rsid w:val="00D50799"/>
    <w:rsid w:val="00D508DF"/>
    <w:rsid w:val="00D50DAC"/>
    <w:rsid w:val="00D50EAE"/>
    <w:rsid w:val="00D510A7"/>
    <w:rsid w:val="00D510C8"/>
    <w:rsid w:val="00D5120A"/>
    <w:rsid w:val="00D512CB"/>
    <w:rsid w:val="00D51309"/>
    <w:rsid w:val="00D51348"/>
    <w:rsid w:val="00D51541"/>
    <w:rsid w:val="00D5190B"/>
    <w:rsid w:val="00D51915"/>
    <w:rsid w:val="00D51B09"/>
    <w:rsid w:val="00D5208D"/>
    <w:rsid w:val="00D520CE"/>
    <w:rsid w:val="00D532A7"/>
    <w:rsid w:val="00D53329"/>
    <w:rsid w:val="00D53545"/>
    <w:rsid w:val="00D53A10"/>
    <w:rsid w:val="00D53F84"/>
    <w:rsid w:val="00D54113"/>
    <w:rsid w:val="00D54755"/>
    <w:rsid w:val="00D54AC3"/>
    <w:rsid w:val="00D554C7"/>
    <w:rsid w:val="00D555AD"/>
    <w:rsid w:val="00D55A14"/>
    <w:rsid w:val="00D55C68"/>
    <w:rsid w:val="00D55D08"/>
    <w:rsid w:val="00D563D6"/>
    <w:rsid w:val="00D566BF"/>
    <w:rsid w:val="00D56A0D"/>
    <w:rsid w:val="00D56C19"/>
    <w:rsid w:val="00D56C33"/>
    <w:rsid w:val="00D57327"/>
    <w:rsid w:val="00D57C6C"/>
    <w:rsid w:val="00D57D0B"/>
    <w:rsid w:val="00D57D6A"/>
    <w:rsid w:val="00D602E2"/>
    <w:rsid w:val="00D609C5"/>
    <w:rsid w:val="00D60BB6"/>
    <w:rsid w:val="00D60D92"/>
    <w:rsid w:val="00D60DBE"/>
    <w:rsid w:val="00D60E5A"/>
    <w:rsid w:val="00D60EA5"/>
    <w:rsid w:val="00D61C26"/>
    <w:rsid w:val="00D61CBB"/>
    <w:rsid w:val="00D61D85"/>
    <w:rsid w:val="00D61DE0"/>
    <w:rsid w:val="00D621AF"/>
    <w:rsid w:val="00D62532"/>
    <w:rsid w:val="00D62839"/>
    <w:rsid w:val="00D62DA3"/>
    <w:rsid w:val="00D62F21"/>
    <w:rsid w:val="00D62F24"/>
    <w:rsid w:val="00D63C15"/>
    <w:rsid w:val="00D63E42"/>
    <w:rsid w:val="00D64143"/>
    <w:rsid w:val="00D64314"/>
    <w:rsid w:val="00D647ED"/>
    <w:rsid w:val="00D64B71"/>
    <w:rsid w:val="00D6505B"/>
    <w:rsid w:val="00D657B2"/>
    <w:rsid w:val="00D65B52"/>
    <w:rsid w:val="00D660EA"/>
    <w:rsid w:val="00D66175"/>
    <w:rsid w:val="00D666F7"/>
    <w:rsid w:val="00D66865"/>
    <w:rsid w:val="00D668CA"/>
    <w:rsid w:val="00D66925"/>
    <w:rsid w:val="00D6692C"/>
    <w:rsid w:val="00D66AA4"/>
    <w:rsid w:val="00D674F0"/>
    <w:rsid w:val="00D67688"/>
    <w:rsid w:val="00D67D3D"/>
    <w:rsid w:val="00D67E1E"/>
    <w:rsid w:val="00D67E3D"/>
    <w:rsid w:val="00D67EAA"/>
    <w:rsid w:val="00D70C0C"/>
    <w:rsid w:val="00D70F20"/>
    <w:rsid w:val="00D71192"/>
    <w:rsid w:val="00D71535"/>
    <w:rsid w:val="00D716E2"/>
    <w:rsid w:val="00D71E3E"/>
    <w:rsid w:val="00D72A67"/>
    <w:rsid w:val="00D72BC7"/>
    <w:rsid w:val="00D73540"/>
    <w:rsid w:val="00D73621"/>
    <w:rsid w:val="00D736B6"/>
    <w:rsid w:val="00D73BCE"/>
    <w:rsid w:val="00D74AC0"/>
    <w:rsid w:val="00D75B19"/>
    <w:rsid w:val="00D75CBF"/>
    <w:rsid w:val="00D75F47"/>
    <w:rsid w:val="00D767F4"/>
    <w:rsid w:val="00D76D28"/>
    <w:rsid w:val="00D77000"/>
    <w:rsid w:val="00D774F9"/>
    <w:rsid w:val="00D775B1"/>
    <w:rsid w:val="00D77AF7"/>
    <w:rsid w:val="00D77D87"/>
    <w:rsid w:val="00D77E0D"/>
    <w:rsid w:val="00D803A9"/>
    <w:rsid w:val="00D80689"/>
    <w:rsid w:val="00D80778"/>
    <w:rsid w:val="00D80963"/>
    <w:rsid w:val="00D809E8"/>
    <w:rsid w:val="00D80B94"/>
    <w:rsid w:val="00D80DDF"/>
    <w:rsid w:val="00D80E35"/>
    <w:rsid w:val="00D80F6A"/>
    <w:rsid w:val="00D80F8B"/>
    <w:rsid w:val="00D812D4"/>
    <w:rsid w:val="00D81412"/>
    <w:rsid w:val="00D81A20"/>
    <w:rsid w:val="00D81EDB"/>
    <w:rsid w:val="00D82029"/>
    <w:rsid w:val="00D82C03"/>
    <w:rsid w:val="00D83259"/>
    <w:rsid w:val="00D83349"/>
    <w:rsid w:val="00D8384B"/>
    <w:rsid w:val="00D83BFF"/>
    <w:rsid w:val="00D83CE8"/>
    <w:rsid w:val="00D84599"/>
    <w:rsid w:val="00D853C8"/>
    <w:rsid w:val="00D859F6"/>
    <w:rsid w:val="00D85D18"/>
    <w:rsid w:val="00D86126"/>
    <w:rsid w:val="00D86137"/>
    <w:rsid w:val="00D8615F"/>
    <w:rsid w:val="00D86C30"/>
    <w:rsid w:val="00D87164"/>
    <w:rsid w:val="00D87197"/>
    <w:rsid w:val="00D8747C"/>
    <w:rsid w:val="00D87B94"/>
    <w:rsid w:val="00D87C64"/>
    <w:rsid w:val="00D87E19"/>
    <w:rsid w:val="00D90C13"/>
    <w:rsid w:val="00D90CF9"/>
    <w:rsid w:val="00D911BC"/>
    <w:rsid w:val="00D91994"/>
    <w:rsid w:val="00D91A47"/>
    <w:rsid w:val="00D91AB6"/>
    <w:rsid w:val="00D91F9A"/>
    <w:rsid w:val="00D9216F"/>
    <w:rsid w:val="00D921F2"/>
    <w:rsid w:val="00D92A79"/>
    <w:rsid w:val="00D92FA9"/>
    <w:rsid w:val="00D93B57"/>
    <w:rsid w:val="00D93C4B"/>
    <w:rsid w:val="00D93EE0"/>
    <w:rsid w:val="00D941E7"/>
    <w:rsid w:val="00D94EC3"/>
    <w:rsid w:val="00D94ECB"/>
    <w:rsid w:val="00D94F28"/>
    <w:rsid w:val="00D95099"/>
    <w:rsid w:val="00D95165"/>
    <w:rsid w:val="00D95397"/>
    <w:rsid w:val="00D95844"/>
    <w:rsid w:val="00D95AB0"/>
    <w:rsid w:val="00D95AB8"/>
    <w:rsid w:val="00D96416"/>
    <w:rsid w:val="00D96605"/>
    <w:rsid w:val="00D96B60"/>
    <w:rsid w:val="00D96D3D"/>
    <w:rsid w:val="00D96D5E"/>
    <w:rsid w:val="00D97504"/>
    <w:rsid w:val="00D975CD"/>
    <w:rsid w:val="00D97C10"/>
    <w:rsid w:val="00DA07A0"/>
    <w:rsid w:val="00DA0B5A"/>
    <w:rsid w:val="00DA1A60"/>
    <w:rsid w:val="00DA1C8F"/>
    <w:rsid w:val="00DA20A8"/>
    <w:rsid w:val="00DA2244"/>
    <w:rsid w:val="00DA22DF"/>
    <w:rsid w:val="00DA275E"/>
    <w:rsid w:val="00DA36A4"/>
    <w:rsid w:val="00DA36AA"/>
    <w:rsid w:val="00DA3755"/>
    <w:rsid w:val="00DA37B4"/>
    <w:rsid w:val="00DA385C"/>
    <w:rsid w:val="00DA400A"/>
    <w:rsid w:val="00DA49B2"/>
    <w:rsid w:val="00DA4CD1"/>
    <w:rsid w:val="00DA4E07"/>
    <w:rsid w:val="00DA506B"/>
    <w:rsid w:val="00DA5E9F"/>
    <w:rsid w:val="00DA5FF2"/>
    <w:rsid w:val="00DA6637"/>
    <w:rsid w:val="00DA6A2E"/>
    <w:rsid w:val="00DA7077"/>
    <w:rsid w:val="00DA7108"/>
    <w:rsid w:val="00DA7BAF"/>
    <w:rsid w:val="00DB00C1"/>
    <w:rsid w:val="00DB01BB"/>
    <w:rsid w:val="00DB070A"/>
    <w:rsid w:val="00DB0743"/>
    <w:rsid w:val="00DB0AC3"/>
    <w:rsid w:val="00DB1235"/>
    <w:rsid w:val="00DB1433"/>
    <w:rsid w:val="00DB1C8B"/>
    <w:rsid w:val="00DB1EF6"/>
    <w:rsid w:val="00DB2105"/>
    <w:rsid w:val="00DB2196"/>
    <w:rsid w:val="00DB2B4A"/>
    <w:rsid w:val="00DB2F71"/>
    <w:rsid w:val="00DB3425"/>
    <w:rsid w:val="00DB35F5"/>
    <w:rsid w:val="00DB364E"/>
    <w:rsid w:val="00DB3963"/>
    <w:rsid w:val="00DB3DA0"/>
    <w:rsid w:val="00DB40FC"/>
    <w:rsid w:val="00DB41A8"/>
    <w:rsid w:val="00DB4421"/>
    <w:rsid w:val="00DB4788"/>
    <w:rsid w:val="00DB4828"/>
    <w:rsid w:val="00DB4ACE"/>
    <w:rsid w:val="00DB4B4E"/>
    <w:rsid w:val="00DB4DB0"/>
    <w:rsid w:val="00DB5566"/>
    <w:rsid w:val="00DB55E0"/>
    <w:rsid w:val="00DB58AB"/>
    <w:rsid w:val="00DB5982"/>
    <w:rsid w:val="00DB5A39"/>
    <w:rsid w:val="00DB6C9E"/>
    <w:rsid w:val="00DB740C"/>
    <w:rsid w:val="00DB7AFE"/>
    <w:rsid w:val="00DB7F62"/>
    <w:rsid w:val="00DC0005"/>
    <w:rsid w:val="00DC03A5"/>
    <w:rsid w:val="00DC03F1"/>
    <w:rsid w:val="00DC0DB1"/>
    <w:rsid w:val="00DC0FCC"/>
    <w:rsid w:val="00DC100F"/>
    <w:rsid w:val="00DC11E7"/>
    <w:rsid w:val="00DC1602"/>
    <w:rsid w:val="00DC1707"/>
    <w:rsid w:val="00DC2A8D"/>
    <w:rsid w:val="00DC2C37"/>
    <w:rsid w:val="00DC2CC9"/>
    <w:rsid w:val="00DC3005"/>
    <w:rsid w:val="00DC302E"/>
    <w:rsid w:val="00DC308F"/>
    <w:rsid w:val="00DC3EF9"/>
    <w:rsid w:val="00DC3F1C"/>
    <w:rsid w:val="00DC439E"/>
    <w:rsid w:val="00DC50C6"/>
    <w:rsid w:val="00DC559D"/>
    <w:rsid w:val="00DC582B"/>
    <w:rsid w:val="00DC587E"/>
    <w:rsid w:val="00DC5BAD"/>
    <w:rsid w:val="00DC62EC"/>
    <w:rsid w:val="00DC6490"/>
    <w:rsid w:val="00DC6B1B"/>
    <w:rsid w:val="00DC7810"/>
    <w:rsid w:val="00DD05B9"/>
    <w:rsid w:val="00DD0AF2"/>
    <w:rsid w:val="00DD0D41"/>
    <w:rsid w:val="00DD0E6F"/>
    <w:rsid w:val="00DD0E8E"/>
    <w:rsid w:val="00DD1D0A"/>
    <w:rsid w:val="00DD1F8A"/>
    <w:rsid w:val="00DD2093"/>
    <w:rsid w:val="00DD20F9"/>
    <w:rsid w:val="00DD289B"/>
    <w:rsid w:val="00DD316D"/>
    <w:rsid w:val="00DD350F"/>
    <w:rsid w:val="00DD36C2"/>
    <w:rsid w:val="00DD3CA0"/>
    <w:rsid w:val="00DD4178"/>
    <w:rsid w:val="00DD46A9"/>
    <w:rsid w:val="00DD4B82"/>
    <w:rsid w:val="00DD518B"/>
    <w:rsid w:val="00DD5484"/>
    <w:rsid w:val="00DD565F"/>
    <w:rsid w:val="00DD5E21"/>
    <w:rsid w:val="00DD5ED2"/>
    <w:rsid w:val="00DD63E1"/>
    <w:rsid w:val="00DD64E6"/>
    <w:rsid w:val="00DD6871"/>
    <w:rsid w:val="00DD6ABE"/>
    <w:rsid w:val="00DD70E7"/>
    <w:rsid w:val="00DD71C1"/>
    <w:rsid w:val="00DD7B5A"/>
    <w:rsid w:val="00DD7BC4"/>
    <w:rsid w:val="00DE004A"/>
    <w:rsid w:val="00DE01C4"/>
    <w:rsid w:val="00DE059C"/>
    <w:rsid w:val="00DE0C4C"/>
    <w:rsid w:val="00DE0FF7"/>
    <w:rsid w:val="00DE20AB"/>
    <w:rsid w:val="00DE22E1"/>
    <w:rsid w:val="00DE2857"/>
    <w:rsid w:val="00DE2B52"/>
    <w:rsid w:val="00DE2EE0"/>
    <w:rsid w:val="00DE30D1"/>
    <w:rsid w:val="00DE3B85"/>
    <w:rsid w:val="00DE40FC"/>
    <w:rsid w:val="00DE413E"/>
    <w:rsid w:val="00DE4328"/>
    <w:rsid w:val="00DE4362"/>
    <w:rsid w:val="00DE44C1"/>
    <w:rsid w:val="00DE44EE"/>
    <w:rsid w:val="00DE4923"/>
    <w:rsid w:val="00DE4E1F"/>
    <w:rsid w:val="00DE5333"/>
    <w:rsid w:val="00DE587A"/>
    <w:rsid w:val="00DE5E6A"/>
    <w:rsid w:val="00DE6728"/>
    <w:rsid w:val="00DE68E2"/>
    <w:rsid w:val="00DE6979"/>
    <w:rsid w:val="00DE6E57"/>
    <w:rsid w:val="00DF02BB"/>
    <w:rsid w:val="00DF0563"/>
    <w:rsid w:val="00DF0F08"/>
    <w:rsid w:val="00DF1160"/>
    <w:rsid w:val="00DF192B"/>
    <w:rsid w:val="00DF1959"/>
    <w:rsid w:val="00DF1A22"/>
    <w:rsid w:val="00DF2096"/>
    <w:rsid w:val="00DF209F"/>
    <w:rsid w:val="00DF222D"/>
    <w:rsid w:val="00DF2396"/>
    <w:rsid w:val="00DF250C"/>
    <w:rsid w:val="00DF26ED"/>
    <w:rsid w:val="00DF293A"/>
    <w:rsid w:val="00DF33EB"/>
    <w:rsid w:val="00DF363A"/>
    <w:rsid w:val="00DF3AD1"/>
    <w:rsid w:val="00DF3C8A"/>
    <w:rsid w:val="00DF3CCD"/>
    <w:rsid w:val="00DF4176"/>
    <w:rsid w:val="00DF465C"/>
    <w:rsid w:val="00DF465F"/>
    <w:rsid w:val="00DF48AB"/>
    <w:rsid w:val="00DF4DA7"/>
    <w:rsid w:val="00DF5F45"/>
    <w:rsid w:val="00DF61BD"/>
    <w:rsid w:val="00DF6C74"/>
    <w:rsid w:val="00DF75CE"/>
    <w:rsid w:val="00DF777E"/>
    <w:rsid w:val="00DF77C4"/>
    <w:rsid w:val="00DF78C4"/>
    <w:rsid w:val="00DF7CEB"/>
    <w:rsid w:val="00DF7D82"/>
    <w:rsid w:val="00DF7E05"/>
    <w:rsid w:val="00DF7FC3"/>
    <w:rsid w:val="00E00142"/>
    <w:rsid w:val="00E003B7"/>
    <w:rsid w:val="00E00EA0"/>
    <w:rsid w:val="00E01E2E"/>
    <w:rsid w:val="00E02271"/>
    <w:rsid w:val="00E023AD"/>
    <w:rsid w:val="00E02848"/>
    <w:rsid w:val="00E02C39"/>
    <w:rsid w:val="00E02DAE"/>
    <w:rsid w:val="00E02DDF"/>
    <w:rsid w:val="00E02E35"/>
    <w:rsid w:val="00E03BBD"/>
    <w:rsid w:val="00E03F26"/>
    <w:rsid w:val="00E04446"/>
    <w:rsid w:val="00E04A33"/>
    <w:rsid w:val="00E04A46"/>
    <w:rsid w:val="00E04B37"/>
    <w:rsid w:val="00E058BB"/>
    <w:rsid w:val="00E059A3"/>
    <w:rsid w:val="00E05F84"/>
    <w:rsid w:val="00E06703"/>
    <w:rsid w:val="00E0708E"/>
    <w:rsid w:val="00E07926"/>
    <w:rsid w:val="00E07A1B"/>
    <w:rsid w:val="00E07F9C"/>
    <w:rsid w:val="00E07F9D"/>
    <w:rsid w:val="00E1057F"/>
    <w:rsid w:val="00E107C3"/>
    <w:rsid w:val="00E1098E"/>
    <w:rsid w:val="00E109B0"/>
    <w:rsid w:val="00E112D8"/>
    <w:rsid w:val="00E11A80"/>
    <w:rsid w:val="00E120F7"/>
    <w:rsid w:val="00E1231A"/>
    <w:rsid w:val="00E12833"/>
    <w:rsid w:val="00E12AC9"/>
    <w:rsid w:val="00E12B5F"/>
    <w:rsid w:val="00E13A48"/>
    <w:rsid w:val="00E13CD4"/>
    <w:rsid w:val="00E13F54"/>
    <w:rsid w:val="00E14063"/>
    <w:rsid w:val="00E14B42"/>
    <w:rsid w:val="00E14F4A"/>
    <w:rsid w:val="00E14F8D"/>
    <w:rsid w:val="00E1544D"/>
    <w:rsid w:val="00E15756"/>
    <w:rsid w:val="00E159B0"/>
    <w:rsid w:val="00E15B42"/>
    <w:rsid w:val="00E15B58"/>
    <w:rsid w:val="00E15C63"/>
    <w:rsid w:val="00E15D01"/>
    <w:rsid w:val="00E16197"/>
    <w:rsid w:val="00E16A37"/>
    <w:rsid w:val="00E17174"/>
    <w:rsid w:val="00E17338"/>
    <w:rsid w:val="00E173AA"/>
    <w:rsid w:val="00E174CB"/>
    <w:rsid w:val="00E17B70"/>
    <w:rsid w:val="00E20127"/>
    <w:rsid w:val="00E20B8F"/>
    <w:rsid w:val="00E21487"/>
    <w:rsid w:val="00E21C42"/>
    <w:rsid w:val="00E21DC7"/>
    <w:rsid w:val="00E2266E"/>
    <w:rsid w:val="00E22908"/>
    <w:rsid w:val="00E22C67"/>
    <w:rsid w:val="00E22EE8"/>
    <w:rsid w:val="00E2325B"/>
    <w:rsid w:val="00E2370F"/>
    <w:rsid w:val="00E23BDD"/>
    <w:rsid w:val="00E24194"/>
    <w:rsid w:val="00E24581"/>
    <w:rsid w:val="00E24EAD"/>
    <w:rsid w:val="00E250AA"/>
    <w:rsid w:val="00E25192"/>
    <w:rsid w:val="00E25464"/>
    <w:rsid w:val="00E25597"/>
    <w:rsid w:val="00E25810"/>
    <w:rsid w:val="00E25A5C"/>
    <w:rsid w:val="00E25F57"/>
    <w:rsid w:val="00E26241"/>
    <w:rsid w:val="00E26424"/>
    <w:rsid w:val="00E264AF"/>
    <w:rsid w:val="00E26672"/>
    <w:rsid w:val="00E26782"/>
    <w:rsid w:val="00E26A38"/>
    <w:rsid w:val="00E26D38"/>
    <w:rsid w:val="00E30139"/>
    <w:rsid w:val="00E303C6"/>
    <w:rsid w:val="00E30487"/>
    <w:rsid w:val="00E304E1"/>
    <w:rsid w:val="00E307BA"/>
    <w:rsid w:val="00E30C3A"/>
    <w:rsid w:val="00E30C88"/>
    <w:rsid w:val="00E30F0A"/>
    <w:rsid w:val="00E313F4"/>
    <w:rsid w:val="00E31420"/>
    <w:rsid w:val="00E31592"/>
    <w:rsid w:val="00E31E63"/>
    <w:rsid w:val="00E3205F"/>
    <w:rsid w:val="00E32341"/>
    <w:rsid w:val="00E3251C"/>
    <w:rsid w:val="00E32524"/>
    <w:rsid w:val="00E3275F"/>
    <w:rsid w:val="00E32C72"/>
    <w:rsid w:val="00E32D2E"/>
    <w:rsid w:val="00E32DF3"/>
    <w:rsid w:val="00E32F09"/>
    <w:rsid w:val="00E33102"/>
    <w:rsid w:val="00E331FD"/>
    <w:rsid w:val="00E3351C"/>
    <w:rsid w:val="00E335BC"/>
    <w:rsid w:val="00E3387C"/>
    <w:rsid w:val="00E33C9E"/>
    <w:rsid w:val="00E344C2"/>
    <w:rsid w:val="00E3485F"/>
    <w:rsid w:val="00E34862"/>
    <w:rsid w:val="00E34A00"/>
    <w:rsid w:val="00E34C10"/>
    <w:rsid w:val="00E34F11"/>
    <w:rsid w:val="00E35462"/>
    <w:rsid w:val="00E35A65"/>
    <w:rsid w:val="00E35B2B"/>
    <w:rsid w:val="00E3616C"/>
    <w:rsid w:val="00E36F07"/>
    <w:rsid w:val="00E373AA"/>
    <w:rsid w:val="00E373E1"/>
    <w:rsid w:val="00E37720"/>
    <w:rsid w:val="00E377C5"/>
    <w:rsid w:val="00E377E4"/>
    <w:rsid w:val="00E37AA3"/>
    <w:rsid w:val="00E37C82"/>
    <w:rsid w:val="00E37D50"/>
    <w:rsid w:val="00E41106"/>
    <w:rsid w:val="00E413B9"/>
    <w:rsid w:val="00E415E7"/>
    <w:rsid w:val="00E41616"/>
    <w:rsid w:val="00E416BA"/>
    <w:rsid w:val="00E419F2"/>
    <w:rsid w:val="00E41EEF"/>
    <w:rsid w:val="00E42299"/>
    <w:rsid w:val="00E4231D"/>
    <w:rsid w:val="00E42544"/>
    <w:rsid w:val="00E427F7"/>
    <w:rsid w:val="00E43EAB"/>
    <w:rsid w:val="00E444E8"/>
    <w:rsid w:val="00E44DFB"/>
    <w:rsid w:val="00E44FEC"/>
    <w:rsid w:val="00E4552A"/>
    <w:rsid w:val="00E4557B"/>
    <w:rsid w:val="00E45586"/>
    <w:rsid w:val="00E4567B"/>
    <w:rsid w:val="00E45E5A"/>
    <w:rsid w:val="00E45F1A"/>
    <w:rsid w:val="00E46A79"/>
    <w:rsid w:val="00E46C46"/>
    <w:rsid w:val="00E47105"/>
    <w:rsid w:val="00E4719E"/>
    <w:rsid w:val="00E471C9"/>
    <w:rsid w:val="00E4781D"/>
    <w:rsid w:val="00E4784F"/>
    <w:rsid w:val="00E47B9E"/>
    <w:rsid w:val="00E5015E"/>
    <w:rsid w:val="00E50376"/>
    <w:rsid w:val="00E50560"/>
    <w:rsid w:val="00E50712"/>
    <w:rsid w:val="00E50E88"/>
    <w:rsid w:val="00E51179"/>
    <w:rsid w:val="00E520F2"/>
    <w:rsid w:val="00E524EB"/>
    <w:rsid w:val="00E52E84"/>
    <w:rsid w:val="00E531E6"/>
    <w:rsid w:val="00E5369E"/>
    <w:rsid w:val="00E536CE"/>
    <w:rsid w:val="00E54334"/>
    <w:rsid w:val="00E546A2"/>
    <w:rsid w:val="00E55249"/>
    <w:rsid w:val="00E55389"/>
    <w:rsid w:val="00E55405"/>
    <w:rsid w:val="00E555D5"/>
    <w:rsid w:val="00E56F9D"/>
    <w:rsid w:val="00E57491"/>
    <w:rsid w:val="00E57E6A"/>
    <w:rsid w:val="00E6000E"/>
    <w:rsid w:val="00E601C4"/>
    <w:rsid w:val="00E609C6"/>
    <w:rsid w:val="00E612F9"/>
    <w:rsid w:val="00E61568"/>
    <w:rsid w:val="00E6160E"/>
    <w:rsid w:val="00E61AEF"/>
    <w:rsid w:val="00E61BA9"/>
    <w:rsid w:val="00E61DBD"/>
    <w:rsid w:val="00E62582"/>
    <w:rsid w:val="00E626F7"/>
    <w:rsid w:val="00E629D6"/>
    <w:rsid w:val="00E6331A"/>
    <w:rsid w:val="00E635FF"/>
    <w:rsid w:val="00E636F0"/>
    <w:rsid w:val="00E63CFA"/>
    <w:rsid w:val="00E641F0"/>
    <w:rsid w:val="00E64432"/>
    <w:rsid w:val="00E6464D"/>
    <w:rsid w:val="00E64CFF"/>
    <w:rsid w:val="00E64D56"/>
    <w:rsid w:val="00E6505A"/>
    <w:rsid w:val="00E65566"/>
    <w:rsid w:val="00E65AA2"/>
    <w:rsid w:val="00E65AA8"/>
    <w:rsid w:val="00E65D6B"/>
    <w:rsid w:val="00E664D5"/>
    <w:rsid w:val="00E6678A"/>
    <w:rsid w:val="00E669AB"/>
    <w:rsid w:val="00E67060"/>
    <w:rsid w:val="00E6743E"/>
    <w:rsid w:val="00E6757D"/>
    <w:rsid w:val="00E675A8"/>
    <w:rsid w:val="00E67855"/>
    <w:rsid w:val="00E67D63"/>
    <w:rsid w:val="00E708B2"/>
    <w:rsid w:val="00E70DA9"/>
    <w:rsid w:val="00E716ED"/>
    <w:rsid w:val="00E71B4D"/>
    <w:rsid w:val="00E71FA0"/>
    <w:rsid w:val="00E72903"/>
    <w:rsid w:val="00E73143"/>
    <w:rsid w:val="00E73237"/>
    <w:rsid w:val="00E733D3"/>
    <w:rsid w:val="00E7347C"/>
    <w:rsid w:val="00E73A7F"/>
    <w:rsid w:val="00E73C7A"/>
    <w:rsid w:val="00E744FA"/>
    <w:rsid w:val="00E74882"/>
    <w:rsid w:val="00E74981"/>
    <w:rsid w:val="00E74C4C"/>
    <w:rsid w:val="00E74F72"/>
    <w:rsid w:val="00E7537B"/>
    <w:rsid w:val="00E75389"/>
    <w:rsid w:val="00E75937"/>
    <w:rsid w:val="00E7596E"/>
    <w:rsid w:val="00E75C4C"/>
    <w:rsid w:val="00E76102"/>
    <w:rsid w:val="00E765C4"/>
    <w:rsid w:val="00E76986"/>
    <w:rsid w:val="00E769C5"/>
    <w:rsid w:val="00E76D7F"/>
    <w:rsid w:val="00E7737D"/>
    <w:rsid w:val="00E7749B"/>
    <w:rsid w:val="00E80167"/>
    <w:rsid w:val="00E80992"/>
    <w:rsid w:val="00E80FEE"/>
    <w:rsid w:val="00E81537"/>
    <w:rsid w:val="00E818FC"/>
    <w:rsid w:val="00E81A73"/>
    <w:rsid w:val="00E81C01"/>
    <w:rsid w:val="00E81CA2"/>
    <w:rsid w:val="00E81D9E"/>
    <w:rsid w:val="00E81DBF"/>
    <w:rsid w:val="00E81E92"/>
    <w:rsid w:val="00E82B5A"/>
    <w:rsid w:val="00E82B6C"/>
    <w:rsid w:val="00E832DE"/>
    <w:rsid w:val="00E83AC0"/>
    <w:rsid w:val="00E83B70"/>
    <w:rsid w:val="00E83F45"/>
    <w:rsid w:val="00E84444"/>
    <w:rsid w:val="00E84452"/>
    <w:rsid w:val="00E84A77"/>
    <w:rsid w:val="00E84CC4"/>
    <w:rsid w:val="00E859FE"/>
    <w:rsid w:val="00E85BED"/>
    <w:rsid w:val="00E85D54"/>
    <w:rsid w:val="00E85E21"/>
    <w:rsid w:val="00E86F27"/>
    <w:rsid w:val="00E870BF"/>
    <w:rsid w:val="00E8723C"/>
    <w:rsid w:val="00E9014C"/>
    <w:rsid w:val="00E90984"/>
    <w:rsid w:val="00E90B3E"/>
    <w:rsid w:val="00E91294"/>
    <w:rsid w:val="00E9133D"/>
    <w:rsid w:val="00E9183C"/>
    <w:rsid w:val="00E922F7"/>
    <w:rsid w:val="00E925AA"/>
    <w:rsid w:val="00E92673"/>
    <w:rsid w:val="00E926D3"/>
    <w:rsid w:val="00E927A6"/>
    <w:rsid w:val="00E9296C"/>
    <w:rsid w:val="00E938E8"/>
    <w:rsid w:val="00E938FC"/>
    <w:rsid w:val="00E9455F"/>
    <w:rsid w:val="00E94708"/>
    <w:rsid w:val="00E949F0"/>
    <w:rsid w:val="00E95163"/>
    <w:rsid w:val="00E951C4"/>
    <w:rsid w:val="00E95433"/>
    <w:rsid w:val="00E95DFB"/>
    <w:rsid w:val="00E95ED8"/>
    <w:rsid w:val="00E966B8"/>
    <w:rsid w:val="00E96DEF"/>
    <w:rsid w:val="00E9724B"/>
    <w:rsid w:val="00E973E4"/>
    <w:rsid w:val="00E973EE"/>
    <w:rsid w:val="00E97553"/>
    <w:rsid w:val="00E97664"/>
    <w:rsid w:val="00E9775E"/>
    <w:rsid w:val="00E9781D"/>
    <w:rsid w:val="00E97B62"/>
    <w:rsid w:val="00EA0734"/>
    <w:rsid w:val="00EA0F60"/>
    <w:rsid w:val="00EA1EED"/>
    <w:rsid w:val="00EA1F3A"/>
    <w:rsid w:val="00EA2006"/>
    <w:rsid w:val="00EA2635"/>
    <w:rsid w:val="00EA2666"/>
    <w:rsid w:val="00EA26AA"/>
    <w:rsid w:val="00EA2722"/>
    <w:rsid w:val="00EA2AD2"/>
    <w:rsid w:val="00EA2C02"/>
    <w:rsid w:val="00EA2D4D"/>
    <w:rsid w:val="00EA40D6"/>
    <w:rsid w:val="00EA42BC"/>
    <w:rsid w:val="00EA483E"/>
    <w:rsid w:val="00EA59A5"/>
    <w:rsid w:val="00EA5E47"/>
    <w:rsid w:val="00EA6101"/>
    <w:rsid w:val="00EA618B"/>
    <w:rsid w:val="00EA6584"/>
    <w:rsid w:val="00EA65D2"/>
    <w:rsid w:val="00EA67E7"/>
    <w:rsid w:val="00EA6AFA"/>
    <w:rsid w:val="00EA6D21"/>
    <w:rsid w:val="00EA74FB"/>
    <w:rsid w:val="00EA774C"/>
    <w:rsid w:val="00EA79FC"/>
    <w:rsid w:val="00EA7A9A"/>
    <w:rsid w:val="00EB0621"/>
    <w:rsid w:val="00EB19D1"/>
    <w:rsid w:val="00EB2208"/>
    <w:rsid w:val="00EB22E9"/>
    <w:rsid w:val="00EB26D9"/>
    <w:rsid w:val="00EB314C"/>
    <w:rsid w:val="00EB36A0"/>
    <w:rsid w:val="00EB40A0"/>
    <w:rsid w:val="00EB487D"/>
    <w:rsid w:val="00EB48E2"/>
    <w:rsid w:val="00EB48E4"/>
    <w:rsid w:val="00EB4A65"/>
    <w:rsid w:val="00EB4E44"/>
    <w:rsid w:val="00EB53A0"/>
    <w:rsid w:val="00EB553F"/>
    <w:rsid w:val="00EB5603"/>
    <w:rsid w:val="00EB5963"/>
    <w:rsid w:val="00EB5D81"/>
    <w:rsid w:val="00EB5EB9"/>
    <w:rsid w:val="00EB6064"/>
    <w:rsid w:val="00EB6487"/>
    <w:rsid w:val="00EB6653"/>
    <w:rsid w:val="00EB677A"/>
    <w:rsid w:val="00EB682F"/>
    <w:rsid w:val="00EB694B"/>
    <w:rsid w:val="00EB69D5"/>
    <w:rsid w:val="00EB6A3F"/>
    <w:rsid w:val="00EB765A"/>
    <w:rsid w:val="00EB7DBB"/>
    <w:rsid w:val="00EC0216"/>
    <w:rsid w:val="00EC0E1B"/>
    <w:rsid w:val="00EC1476"/>
    <w:rsid w:val="00EC1956"/>
    <w:rsid w:val="00EC1E95"/>
    <w:rsid w:val="00EC206A"/>
    <w:rsid w:val="00EC2300"/>
    <w:rsid w:val="00EC260A"/>
    <w:rsid w:val="00EC26D6"/>
    <w:rsid w:val="00EC2B7A"/>
    <w:rsid w:val="00EC2EF3"/>
    <w:rsid w:val="00EC32D6"/>
    <w:rsid w:val="00EC3A76"/>
    <w:rsid w:val="00EC43EF"/>
    <w:rsid w:val="00EC518F"/>
    <w:rsid w:val="00EC525D"/>
    <w:rsid w:val="00EC56C7"/>
    <w:rsid w:val="00EC5B48"/>
    <w:rsid w:val="00EC5E8A"/>
    <w:rsid w:val="00EC5E9D"/>
    <w:rsid w:val="00EC6ACE"/>
    <w:rsid w:val="00EC6B84"/>
    <w:rsid w:val="00EC7AB2"/>
    <w:rsid w:val="00EC7BC5"/>
    <w:rsid w:val="00ED01BA"/>
    <w:rsid w:val="00ED035E"/>
    <w:rsid w:val="00ED05F1"/>
    <w:rsid w:val="00ED065A"/>
    <w:rsid w:val="00ED0AC8"/>
    <w:rsid w:val="00ED0C29"/>
    <w:rsid w:val="00ED0F80"/>
    <w:rsid w:val="00ED1142"/>
    <w:rsid w:val="00ED182E"/>
    <w:rsid w:val="00ED1975"/>
    <w:rsid w:val="00ED2A65"/>
    <w:rsid w:val="00ED34B0"/>
    <w:rsid w:val="00ED3659"/>
    <w:rsid w:val="00ED373F"/>
    <w:rsid w:val="00ED3F14"/>
    <w:rsid w:val="00ED46BC"/>
    <w:rsid w:val="00ED4BCA"/>
    <w:rsid w:val="00ED5406"/>
    <w:rsid w:val="00ED5923"/>
    <w:rsid w:val="00ED5CB8"/>
    <w:rsid w:val="00ED5F24"/>
    <w:rsid w:val="00ED6279"/>
    <w:rsid w:val="00ED6767"/>
    <w:rsid w:val="00ED699A"/>
    <w:rsid w:val="00ED6B9E"/>
    <w:rsid w:val="00ED6FCA"/>
    <w:rsid w:val="00ED7297"/>
    <w:rsid w:val="00ED740A"/>
    <w:rsid w:val="00ED77A0"/>
    <w:rsid w:val="00ED7F3B"/>
    <w:rsid w:val="00EE047C"/>
    <w:rsid w:val="00EE107A"/>
    <w:rsid w:val="00EE18FD"/>
    <w:rsid w:val="00EE1F37"/>
    <w:rsid w:val="00EE1FFF"/>
    <w:rsid w:val="00EE2BFD"/>
    <w:rsid w:val="00EE3387"/>
    <w:rsid w:val="00EE3A3E"/>
    <w:rsid w:val="00EE3DB3"/>
    <w:rsid w:val="00EE4140"/>
    <w:rsid w:val="00EE41C0"/>
    <w:rsid w:val="00EE45A4"/>
    <w:rsid w:val="00EE4920"/>
    <w:rsid w:val="00EE4C85"/>
    <w:rsid w:val="00EE4FB2"/>
    <w:rsid w:val="00EE5751"/>
    <w:rsid w:val="00EE5CE4"/>
    <w:rsid w:val="00EE62FA"/>
    <w:rsid w:val="00EE67D4"/>
    <w:rsid w:val="00EE7081"/>
    <w:rsid w:val="00EE75BF"/>
    <w:rsid w:val="00EE76F5"/>
    <w:rsid w:val="00EE7B67"/>
    <w:rsid w:val="00EE7BD1"/>
    <w:rsid w:val="00EF0BCE"/>
    <w:rsid w:val="00EF1192"/>
    <w:rsid w:val="00EF1364"/>
    <w:rsid w:val="00EF15A7"/>
    <w:rsid w:val="00EF1906"/>
    <w:rsid w:val="00EF199F"/>
    <w:rsid w:val="00EF241E"/>
    <w:rsid w:val="00EF247A"/>
    <w:rsid w:val="00EF2BFF"/>
    <w:rsid w:val="00EF2C6E"/>
    <w:rsid w:val="00EF2DE9"/>
    <w:rsid w:val="00EF2FD7"/>
    <w:rsid w:val="00EF30C4"/>
    <w:rsid w:val="00EF4140"/>
    <w:rsid w:val="00EF4845"/>
    <w:rsid w:val="00EF4E7F"/>
    <w:rsid w:val="00EF52A6"/>
    <w:rsid w:val="00EF5A7E"/>
    <w:rsid w:val="00EF6117"/>
    <w:rsid w:val="00EF69AB"/>
    <w:rsid w:val="00EF71DA"/>
    <w:rsid w:val="00EF744D"/>
    <w:rsid w:val="00EF7893"/>
    <w:rsid w:val="00F00257"/>
    <w:rsid w:val="00F004B4"/>
    <w:rsid w:val="00F004CA"/>
    <w:rsid w:val="00F01195"/>
    <w:rsid w:val="00F01672"/>
    <w:rsid w:val="00F01AB4"/>
    <w:rsid w:val="00F01E1F"/>
    <w:rsid w:val="00F01FA3"/>
    <w:rsid w:val="00F02703"/>
    <w:rsid w:val="00F02796"/>
    <w:rsid w:val="00F02D44"/>
    <w:rsid w:val="00F03470"/>
    <w:rsid w:val="00F036EF"/>
    <w:rsid w:val="00F03BE9"/>
    <w:rsid w:val="00F045F7"/>
    <w:rsid w:val="00F04CA7"/>
    <w:rsid w:val="00F04D89"/>
    <w:rsid w:val="00F058F3"/>
    <w:rsid w:val="00F05AC4"/>
    <w:rsid w:val="00F06332"/>
    <w:rsid w:val="00F0657A"/>
    <w:rsid w:val="00F06649"/>
    <w:rsid w:val="00F066B2"/>
    <w:rsid w:val="00F06755"/>
    <w:rsid w:val="00F069FF"/>
    <w:rsid w:val="00F06EE5"/>
    <w:rsid w:val="00F06FBC"/>
    <w:rsid w:val="00F07498"/>
    <w:rsid w:val="00F076FE"/>
    <w:rsid w:val="00F07723"/>
    <w:rsid w:val="00F0786E"/>
    <w:rsid w:val="00F07FCE"/>
    <w:rsid w:val="00F1046E"/>
    <w:rsid w:val="00F10B4D"/>
    <w:rsid w:val="00F10BB0"/>
    <w:rsid w:val="00F10F17"/>
    <w:rsid w:val="00F1178F"/>
    <w:rsid w:val="00F11BDF"/>
    <w:rsid w:val="00F11D09"/>
    <w:rsid w:val="00F11DED"/>
    <w:rsid w:val="00F1219E"/>
    <w:rsid w:val="00F12410"/>
    <w:rsid w:val="00F126B5"/>
    <w:rsid w:val="00F132FF"/>
    <w:rsid w:val="00F134C2"/>
    <w:rsid w:val="00F13CA9"/>
    <w:rsid w:val="00F13EE6"/>
    <w:rsid w:val="00F14584"/>
    <w:rsid w:val="00F14D24"/>
    <w:rsid w:val="00F150AB"/>
    <w:rsid w:val="00F158BE"/>
    <w:rsid w:val="00F15ACE"/>
    <w:rsid w:val="00F15F45"/>
    <w:rsid w:val="00F15F96"/>
    <w:rsid w:val="00F1618A"/>
    <w:rsid w:val="00F161C3"/>
    <w:rsid w:val="00F1640E"/>
    <w:rsid w:val="00F1676B"/>
    <w:rsid w:val="00F16AFD"/>
    <w:rsid w:val="00F16DC5"/>
    <w:rsid w:val="00F171C0"/>
    <w:rsid w:val="00F1762F"/>
    <w:rsid w:val="00F17ACD"/>
    <w:rsid w:val="00F17ADF"/>
    <w:rsid w:val="00F17F1B"/>
    <w:rsid w:val="00F17FF3"/>
    <w:rsid w:val="00F20D6E"/>
    <w:rsid w:val="00F20F31"/>
    <w:rsid w:val="00F21111"/>
    <w:rsid w:val="00F213A8"/>
    <w:rsid w:val="00F21493"/>
    <w:rsid w:val="00F21A9C"/>
    <w:rsid w:val="00F223B2"/>
    <w:rsid w:val="00F22DDF"/>
    <w:rsid w:val="00F22F96"/>
    <w:rsid w:val="00F2335A"/>
    <w:rsid w:val="00F23AAD"/>
    <w:rsid w:val="00F23AEA"/>
    <w:rsid w:val="00F241D3"/>
    <w:rsid w:val="00F242D9"/>
    <w:rsid w:val="00F2433B"/>
    <w:rsid w:val="00F245A9"/>
    <w:rsid w:val="00F2473E"/>
    <w:rsid w:val="00F24A12"/>
    <w:rsid w:val="00F24DFA"/>
    <w:rsid w:val="00F25438"/>
    <w:rsid w:val="00F254C1"/>
    <w:rsid w:val="00F254F4"/>
    <w:rsid w:val="00F25687"/>
    <w:rsid w:val="00F25B29"/>
    <w:rsid w:val="00F25E03"/>
    <w:rsid w:val="00F26174"/>
    <w:rsid w:val="00F26383"/>
    <w:rsid w:val="00F2683C"/>
    <w:rsid w:val="00F26951"/>
    <w:rsid w:val="00F26AF7"/>
    <w:rsid w:val="00F26B0D"/>
    <w:rsid w:val="00F27089"/>
    <w:rsid w:val="00F27277"/>
    <w:rsid w:val="00F27B39"/>
    <w:rsid w:val="00F27EAC"/>
    <w:rsid w:val="00F301E4"/>
    <w:rsid w:val="00F30DD5"/>
    <w:rsid w:val="00F313CA"/>
    <w:rsid w:val="00F31769"/>
    <w:rsid w:val="00F31B27"/>
    <w:rsid w:val="00F31D2A"/>
    <w:rsid w:val="00F32D7D"/>
    <w:rsid w:val="00F333D0"/>
    <w:rsid w:val="00F33809"/>
    <w:rsid w:val="00F34088"/>
    <w:rsid w:val="00F3426A"/>
    <w:rsid w:val="00F343E3"/>
    <w:rsid w:val="00F349C2"/>
    <w:rsid w:val="00F34B66"/>
    <w:rsid w:val="00F34FB3"/>
    <w:rsid w:val="00F359DF"/>
    <w:rsid w:val="00F35F64"/>
    <w:rsid w:val="00F36168"/>
    <w:rsid w:val="00F3634A"/>
    <w:rsid w:val="00F36369"/>
    <w:rsid w:val="00F3637D"/>
    <w:rsid w:val="00F365B8"/>
    <w:rsid w:val="00F366B5"/>
    <w:rsid w:val="00F371AD"/>
    <w:rsid w:val="00F37917"/>
    <w:rsid w:val="00F37A11"/>
    <w:rsid w:val="00F37F2D"/>
    <w:rsid w:val="00F40188"/>
    <w:rsid w:val="00F406A8"/>
    <w:rsid w:val="00F40B61"/>
    <w:rsid w:val="00F40CE1"/>
    <w:rsid w:val="00F4121E"/>
    <w:rsid w:val="00F41472"/>
    <w:rsid w:val="00F41490"/>
    <w:rsid w:val="00F4162B"/>
    <w:rsid w:val="00F42079"/>
    <w:rsid w:val="00F42488"/>
    <w:rsid w:val="00F425FD"/>
    <w:rsid w:val="00F42808"/>
    <w:rsid w:val="00F42F71"/>
    <w:rsid w:val="00F431FB"/>
    <w:rsid w:val="00F436F3"/>
    <w:rsid w:val="00F4396C"/>
    <w:rsid w:val="00F439A8"/>
    <w:rsid w:val="00F43A1F"/>
    <w:rsid w:val="00F43F95"/>
    <w:rsid w:val="00F443C3"/>
    <w:rsid w:val="00F44438"/>
    <w:rsid w:val="00F4536E"/>
    <w:rsid w:val="00F45EB7"/>
    <w:rsid w:val="00F4614A"/>
    <w:rsid w:val="00F46871"/>
    <w:rsid w:val="00F46C2A"/>
    <w:rsid w:val="00F46C9E"/>
    <w:rsid w:val="00F4742B"/>
    <w:rsid w:val="00F50059"/>
    <w:rsid w:val="00F508FC"/>
    <w:rsid w:val="00F50923"/>
    <w:rsid w:val="00F50F17"/>
    <w:rsid w:val="00F52249"/>
    <w:rsid w:val="00F52EF5"/>
    <w:rsid w:val="00F52FB8"/>
    <w:rsid w:val="00F53318"/>
    <w:rsid w:val="00F535F5"/>
    <w:rsid w:val="00F53D7F"/>
    <w:rsid w:val="00F53D9B"/>
    <w:rsid w:val="00F54D7E"/>
    <w:rsid w:val="00F558CE"/>
    <w:rsid w:val="00F60862"/>
    <w:rsid w:val="00F60CC2"/>
    <w:rsid w:val="00F60D38"/>
    <w:rsid w:val="00F611A2"/>
    <w:rsid w:val="00F613A3"/>
    <w:rsid w:val="00F61677"/>
    <w:rsid w:val="00F6171A"/>
    <w:rsid w:val="00F623A4"/>
    <w:rsid w:val="00F63E7C"/>
    <w:rsid w:val="00F63EA9"/>
    <w:rsid w:val="00F644FE"/>
    <w:rsid w:val="00F6502C"/>
    <w:rsid w:val="00F65430"/>
    <w:rsid w:val="00F659FA"/>
    <w:rsid w:val="00F66500"/>
    <w:rsid w:val="00F66915"/>
    <w:rsid w:val="00F66C6C"/>
    <w:rsid w:val="00F66CD3"/>
    <w:rsid w:val="00F677F5"/>
    <w:rsid w:val="00F67A5F"/>
    <w:rsid w:val="00F67A73"/>
    <w:rsid w:val="00F67B4D"/>
    <w:rsid w:val="00F702E7"/>
    <w:rsid w:val="00F704D9"/>
    <w:rsid w:val="00F70626"/>
    <w:rsid w:val="00F70D23"/>
    <w:rsid w:val="00F7110A"/>
    <w:rsid w:val="00F71997"/>
    <w:rsid w:val="00F71E24"/>
    <w:rsid w:val="00F71EE6"/>
    <w:rsid w:val="00F71FC4"/>
    <w:rsid w:val="00F7283D"/>
    <w:rsid w:val="00F72EB4"/>
    <w:rsid w:val="00F73556"/>
    <w:rsid w:val="00F73DA0"/>
    <w:rsid w:val="00F73EBC"/>
    <w:rsid w:val="00F73EE9"/>
    <w:rsid w:val="00F73FD4"/>
    <w:rsid w:val="00F74894"/>
    <w:rsid w:val="00F74ADD"/>
    <w:rsid w:val="00F74E49"/>
    <w:rsid w:val="00F75637"/>
    <w:rsid w:val="00F75D89"/>
    <w:rsid w:val="00F7671E"/>
    <w:rsid w:val="00F768F6"/>
    <w:rsid w:val="00F76B97"/>
    <w:rsid w:val="00F76E7C"/>
    <w:rsid w:val="00F77386"/>
    <w:rsid w:val="00F77414"/>
    <w:rsid w:val="00F779BB"/>
    <w:rsid w:val="00F77A8C"/>
    <w:rsid w:val="00F77B64"/>
    <w:rsid w:val="00F77BB3"/>
    <w:rsid w:val="00F80254"/>
    <w:rsid w:val="00F80493"/>
    <w:rsid w:val="00F805A6"/>
    <w:rsid w:val="00F80BEB"/>
    <w:rsid w:val="00F80CAE"/>
    <w:rsid w:val="00F80E98"/>
    <w:rsid w:val="00F812E3"/>
    <w:rsid w:val="00F819FF"/>
    <w:rsid w:val="00F82372"/>
    <w:rsid w:val="00F828D8"/>
    <w:rsid w:val="00F829CE"/>
    <w:rsid w:val="00F82E12"/>
    <w:rsid w:val="00F82F4E"/>
    <w:rsid w:val="00F831D7"/>
    <w:rsid w:val="00F8371C"/>
    <w:rsid w:val="00F838A8"/>
    <w:rsid w:val="00F83B7B"/>
    <w:rsid w:val="00F84046"/>
    <w:rsid w:val="00F84103"/>
    <w:rsid w:val="00F8422B"/>
    <w:rsid w:val="00F84A05"/>
    <w:rsid w:val="00F84DEA"/>
    <w:rsid w:val="00F853B2"/>
    <w:rsid w:val="00F8542A"/>
    <w:rsid w:val="00F8562D"/>
    <w:rsid w:val="00F85BCF"/>
    <w:rsid w:val="00F85D25"/>
    <w:rsid w:val="00F85FDA"/>
    <w:rsid w:val="00F860E9"/>
    <w:rsid w:val="00F86AD5"/>
    <w:rsid w:val="00F86D3C"/>
    <w:rsid w:val="00F86FEF"/>
    <w:rsid w:val="00F8717E"/>
    <w:rsid w:val="00F878E6"/>
    <w:rsid w:val="00F87C7D"/>
    <w:rsid w:val="00F87E85"/>
    <w:rsid w:val="00F90096"/>
    <w:rsid w:val="00F90470"/>
    <w:rsid w:val="00F907F9"/>
    <w:rsid w:val="00F90B6E"/>
    <w:rsid w:val="00F9149F"/>
    <w:rsid w:val="00F91805"/>
    <w:rsid w:val="00F93787"/>
    <w:rsid w:val="00F93997"/>
    <w:rsid w:val="00F93A12"/>
    <w:rsid w:val="00F93EE0"/>
    <w:rsid w:val="00F9435E"/>
    <w:rsid w:val="00F9444E"/>
    <w:rsid w:val="00F94652"/>
    <w:rsid w:val="00F94747"/>
    <w:rsid w:val="00F947C7"/>
    <w:rsid w:val="00F9492C"/>
    <w:rsid w:val="00F94CBF"/>
    <w:rsid w:val="00F94CFC"/>
    <w:rsid w:val="00F94F5D"/>
    <w:rsid w:val="00F957B9"/>
    <w:rsid w:val="00F95C5D"/>
    <w:rsid w:val="00F965F8"/>
    <w:rsid w:val="00F9664D"/>
    <w:rsid w:val="00F969E2"/>
    <w:rsid w:val="00F96A0F"/>
    <w:rsid w:val="00F97174"/>
    <w:rsid w:val="00F9779A"/>
    <w:rsid w:val="00F97F3D"/>
    <w:rsid w:val="00FA094F"/>
    <w:rsid w:val="00FA13A0"/>
    <w:rsid w:val="00FA1473"/>
    <w:rsid w:val="00FA158A"/>
    <w:rsid w:val="00FA1C54"/>
    <w:rsid w:val="00FA2722"/>
    <w:rsid w:val="00FA274F"/>
    <w:rsid w:val="00FA2C81"/>
    <w:rsid w:val="00FA315C"/>
    <w:rsid w:val="00FA3670"/>
    <w:rsid w:val="00FA3952"/>
    <w:rsid w:val="00FA3B9F"/>
    <w:rsid w:val="00FA3E8F"/>
    <w:rsid w:val="00FA3FC2"/>
    <w:rsid w:val="00FA42FC"/>
    <w:rsid w:val="00FA4617"/>
    <w:rsid w:val="00FA475E"/>
    <w:rsid w:val="00FA49DE"/>
    <w:rsid w:val="00FA4BD8"/>
    <w:rsid w:val="00FA56BC"/>
    <w:rsid w:val="00FA6106"/>
    <w:rsid w:val="00FA6B4C"/>
    <w:rsid w:val="00FA7577"/>
    <w:rsid w:val="00FB0416"/>
    <w:rsid w:val="00FB0A17"/>
    <w:rsid w:val="00FB1543"/>
    <w:rsid w:val="00FB15EF"/>
    <w:rsid w:val="00FB1746"/>
    <w:rsid w:val="00FB17E2"/>
    <w:rsid w:val="00FB1975"/>
    <w:rsid w:val="00FB1AC2"/>
    <w:rsid w:val="00FB1CD7"/>
    <w:rsid w:val="00FB1EF9"/>
    <w:rsid w:val="00FB1FC5"/>
    <w:rsid w:val="00FB2190"/>
    <w:rsid w:val="00FB2AC2"/>
    <w:rsid w:val="00FB2C79"/>
    <w:rsid w:val="00FB2EFE"/>
    <w:rsid w:val="00FB371F"/>
    <w:rsid w:val="00FB3A3E"/>
    <w:rsid w:val="00FB3B85"/>
    <w:rsid w:val="00FB3F56"/>
    <w:rsid w:val="00FB4096"/>
    <w:rsid w:val="00FB40FC"/>
    <w:rsid w:val="00FB42E0"/>
    <w:rsid w:val="00FB42F8"/>
    <w:rsid w:val="00FB47F6"/>
    <w:rsid w:val="00FB4849"/>
    <w:rsid w:val="00FB4BA3"/>
    <w:rsid w:val="00FB4C59"/>
    <w:rsid w:val="00FB51B0"/>
    <w:rsid w:val="00FB5423"/>
    <w:rsid w:val="00FB5C28"/>
    <w:rsid w:val="00FB5EB0"/>
    <w:rsid w:val="00FB62EE"/>
    <w:rsid w:val="00FB6530"/>
    <w:rsid w:val="00FB69EA"/>
    <w:rsid w:val="00FB6CEC"/>
    <w:rsid w:val="00FB6EA4"/>
    <w:rsid w:val="00FB71F0"/>
    <w:rsid w:val="00FB72AA"/>
    <w:rsid w:val="00FB74C6"/>
    <w:rsid w:val="00FB74E1"/>
    <w:rsid w:val="00FB7982"/>
    <w:rsid w:val="00FB7A48"/>
    <w:rsid w:val="00FC0920"/>
    <w:rsid w:val="00FC0C4F"/>
    <w:rsid w:val="00FC0E26"/>
    <w:rsid w:val="00FC1B24"/>
    <w:rsid w:val="00FC1DE6"/>
    <w:rsid w:val="00FC2146"/>
    <w:rsid w:val="00FC2453"/>
    <w:rsid w:val="00FC256C"/>
    <w:rsid w:val="00FC2A97"/>
    <w:rsid w:val="00FC2EAB"/>
    <w:rsid w:val="00FC3157"/>
    <w:rsid w:val="00FC3329"/>
    <w:rsid w:val="00FC3782"/>
    <w:rsid w:val="00FC3EEE"/>
    <w:rsid w:val="00FC4320"/>
    <w:rsid w:val="00FC441B"/>
    <w:rsid w:val="00FC4967"/>
    <w:rsid w:val="00FC4C8C"/>
    <w:rsid w:val="00FC4DDF"/>
    <w:rsid w:val="00FC4E1C"/>
    <w:rsid w:val="00FC580B"/>
    <w:rsid w:val="00FC5872"/>
    <w:rsid w:val="00FC60BC"/>
    <w:rsid w:val="00FC62A2"/>
    <w:rsid w:val="00FC6491"/>
    <w:rsid w:val="00FC64E6"/>
    <w:rsid w:val="00FC652F"/>
    <w:rsid w:val="00FC6ACD"/>
    <w:rsid w:val="00FC6AEF"/>
    <w:rsid w:val="00FC6F6C"/>
    <w:rsid w:val="00FC718B"/>
    <w:rsid w:val="00FC76CA"/>
    <w:rsid w:val="00FC7BC0"/>
    <w:rsid w:val="00FC7CA5"/>
    <w:rsid w:val="00FC7E7F"/>
    <w:rsid w:val="00FC7F2A"/>
    <w:rsid w:val="00FD014E"/>
    <w:rsid w:val="00FD04ED"/>
    <w:rsid w:val="00FD058B"/>
    <w:rsid w:val="00FD09DC"/>
    <w:rsid w:val="00FD0F5A"/>
    <w:rsid w:val="00FD0F8A"/>
    <w:rsid w:val="00FD15E0"/>
    <w:rsid w:val="00FD2690"/>
    <w:rsid w:val="00FD28DA"/>
    <w:rsid w:val="00FD3003"/>
    <w:rsid w:val="00FD312D"/>
    <w:rsid w:val="00FD3268"/>
    <w:rsid w:val="00FD32DA"/>
    <w:rsid w:val="00FD401F"/>
    <w:rsid w:val="00FD49E4"/>
    <w:rsid w:val="00FD4A94"/>
    <w:rsid w:val="00FD4B34"/>
    <w:rsid w:val="00FD4B7E"/>
    <w:rsid w:val="00FD5291"/>
    <w:rsid w:val="00FD5423"/>
    <w:rsid w:val="00FD5C10"/>
    <w:rsid w:val="00FD5EF8"/>
    <w:rsid w:val="00FD6344"/>
    <w:rsid w:val="00FD64A0"/>
    <w:rsid w:val="00FD6859"/>
    <w:rsid w:val="00FD6A06"/>
    <w:rsid w:val="00FD6E03"/>
    <w:rsid w:val="00FD77D0"/>
    <w:rsid w:val="00FD7915"/>
    <w:rsid w:val="00FD7961"/>
    <w:rsid w:val="00FD7A63"/>
    <w:rsid w:val="00FD7B60"/>
    <w:rsid w:val="00FD7C36"/>
    <w:rsid w:val="00FD7F14"/>
    <w:rsid w:val="00FD7F55"/>
    <w:rsid w:val="00FE0C38"/>
    <w:rsid w:val="00FE0CA4"/>
    <w:rsid w:val="00FE0D88"/>
    <w:rsid w:val="00FE1F84"/>
    <w:rsid w:val="00FE27C9"/>
    <w:rsid w:val="00FE31AF"/>
    <w:rsid w:val="00FE336B"/>
    <w:rsid w:val="00FE38EF"/>
    <w:rsid w:val="00FE3AC2"/>
    <w:rsid w:val="00FE3DC8"/>
    <w:rsid w:val="00FE3F54"/>
    <w:rsid w:val="00FE48F4"/>
    <w:rsid w:val="00FE4936"/>
    <w:rsid w:val="00FE49C4"/>
    <w:rsid w:val="00FE54F7"/>
    <w:rsid w:val="00FE5545"/>
    <w:rsid w:val="00FE581C"/>
    <w:rsid w:val="00FE5B56"/>
    <w:rsid w:val="00FE6593"/>
    <w:rsid w:val="00FE7266"/>
    <w:rsid w:val="00FE76A4"/>
    <w:rsid w:val="00FE7AA5"/>
    <w:rsid w:val="00FE7CCE"/>
    <w:rsid w:val="00FE7CFE"/>
    <w:rsid w:val="00FF0269"/>
    <w:rsid w:val="00FF045B"/>
    <w:rsid w:val="00FF065F"/>
    <w:rsid w:val="00FF0C58"/>
    <w:rsid w:val="00FF0E90"/>
    <w:rsid w:val="00FF0FFC"/>
    <w:rsid w:val="00FF1614"/>
    <w:rsid w:val="00FF1763"/>
    <w:rsid w:val="00FF18ED"/>
    <w:rsid w:val="00FF1B6B"/>
    <w:rsid w:val="00FF1C3F"/>
    <w:rsid w:val="00FF1C71"/>
    <w:rsid w:val="00FF1CCC"/>
    <w:rsid w:val="00FF270E"/>
    <w:rsid w:val="00FF283C"/>
    <w:rsid w:val="00FF3238"/>
    <w:rsid w:val="00FF374F"/>
    <w:rsid w:val="00FF3AB0"/>
    <w:rsid w:val="00FF3EDD"/>
    <w:rsid w:val="00FF426D"/>
    <w:rsid w:val="00FF437C"/>
    <w:rsid w:val="00FF46F4"/>
    <w:rsid w:val="00FF5387"/>
    <w:rsid w:val="00FF564B"/>
    <w:rsid w:val="00FF58A1"/>
    <w:rsid w:val="00FF5C89"/>
    <w:rsid w:val="00FF5DBE"/>
    <w:rsid w:val="00FF65FF"/>
    <w:rsid w:val="00FF6AE9"/>
    <w:rsid w:val="00FF6B9D"/>
    <w:rsid w:val="00FF72EE"/>
    <w:rsid w:val="00FF738A"/>
    <w:rsid w:val="00FF7D55"/>
    <w:rsid w:val="00FF7E11"/>
    <w:rsid w:val="00FF7F9E"/>
    <w:rsid w:val="01B38562"/>
    <w:rsid w:val="05A1B404"/>
    <w:rsid w:val="082CA8F8"/>
    <w:rsid w:val="08B5E671"/>
    <w:rsid w:val="0B03F094"/>
    <w:rsid w:val="0B638802"/>
    <w:rsid w:val="0C15F4D4"/>
    <w:rsid w:val="0C2BA395"/>
    <w:rsid w:val="0C706939"/>
    <w:rsid w:val="0D6BCFD5"/>
    <w:rsid w:val="0E1C1034"/>
    <w:rsid w:val="109154A1"/>
    <w:rsid w:val="10CA9F2C"/>
    <w:rsid w:val="13130A8A"/>
    <w:rsid w:val="144FB72D"/>
    <w:rsid w:val="149EF944"/>
    <w:rsid w:val="150F5961"/>
    <w:rsid w:val="15D84AB0"/>
    <w:rsid w:val="168D5D4F"/>
    <w:rsid w:val="17D34D22"/>
    <w:rsid w:val="19E81395"/>
    <w:rsid w:val="1DFA10D9"/>
    <w:rsid w:val="1E52696A"/>
    <w:rsid w:val="1F57AC7E"/>
    <w:rsid w:val="21226F34"/>
    <w:rsid w:val="2275DF99"/>
    <w:rsid w:val="232FAD4B"/>
    <w:rsid w:val="2371ADEE"/>
    <w:rsid w:val="268AC5D8"/>
    <w:rsid w:val="26AC1361"/>
    <w:rsid w:val="26D163CF"/>
    <w:rsid w:val="27100629"/>
    <w:rsid w:val="27A25A9E"/>
    <w:rsid w:val="27F2BE3D"/>
    <w:rsid w:val="283F6D9C"/>
    <w:rsid w:val="29F7D16C"/>
    <w:rsid w:val="2B0210B8"/>
    <w:rsid w:val="2B47C8E1"/>
    <w:rsid w:val="2E72F37E"/>
    <w:rsid w:val="31E8C43E"/>
    <w:rsid w:val="32AD9568"/>
    <w:rsid w:val="397CEF0B"/>
    <w:rsid w:val="3AF1F4B9"/>
    <w:rsid w:val="3B5F4DF9"/>
    <w:rsid w:val="3DD67089"/>
    <w:rsid w:val="40212C2F"/>
    <w:rsid w:val="4215AA89"/>
    <w:rsid w:val="4227134E"/>
    <w:rsid w:val="4BB82FBE"/>
    <w:rsid w:val="4C906623"/>
    <w:rsid w:val="4D602632"/>
    <w:rsid w:val="4D6362C5"/>
    <w:rsid w:val="4D655A73"/>
    <w:rsid w:val="4DAE9B4A"/>
    <w:rsid w:val="4E7184BD"/>
    <w:rsid w:val="503EBF90"/>
    <w:rsid w:val="52EC3832"/>
    <w:rsid w:val="5302BECB"/>
    <w:rsid w:val="54906C06"/>
    <w:rsid w:val="5588707B"/>
    <w:rsid w:val="55F813A0"/>
    <w:rsid w:val="5608BD32"/>
    <w:rsid w:val="56E2F153"/>
    <w:rsid w:val="57183821"/>
    <w:rsid w:val="57C3F635"/>
    <w:rsid w:val="58EE9543"/>
    <w:rsid w:val="5A3FAB5E"/>
    <w:rsid w:val="5C2B6CF8"/>
    <w:rsid w:val="5F6A23CC"/>
    <w:rsid w:val="630659EB"/>
    <w:rsid w:val="6365E782"/>
    <w:rsid w:val="6490F2BE"/>
    <w:rsid w:val="653CA70E"/>
    <w:rsid w:val="654748AB"/>
    <w:rsid w:val="65B322B1"/>
    <w:rsid w:val="665679D8"/>
    <w:rsid w:val="6687D0B0"/>
    <w:rsid w:val="675F9CA2"/>
    <w:rsid w:val="6AC19076"/>
    <w:rsid w:val="6C8D7939"/>
    <w:rsid w:val="6CA82633"/>
    <w:rsid w:val="6CD3F62D"/>
    <w:rsid w:val="6CEAC9A9"/>
    <w:rsid w:val="71A17A1A"/>
    <w:rsid w:val="7328E00A"/>
    <w:rsid w:val="768926E6"/>
    <w:rsid w:val="77B99299"/>
    <w:rsid w:val="78088D9E"/>
    <w:rsid w:val="7856807B"/>
    <w:rsid w:val="78CBACEC"/>
    <w:rsid w:val="7B62BA66"/>
    <w:rsid w:val="7DA00997"/>
    <w:rsid w:val="7DC92426"/>
    <w:rsid w:val="7E09AD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050962"/>
  <w15:docId w15:val="{8758F617-5157-4CC1-A893-313CFD9B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imes New Roman" w:hAnsi="Open Sans" w:cs="Open Sans"/>
        <w:sz w:val="22"/>
        <w:szCs w:val="22"/>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7805"/>
  </w:style>
  <w:style w:type="paragraph" w:styleId="Heading1">
    <w:name w:val="heading 1"/>
    <w:basedOn w:val="Normal"/>
    <w:next w:val="Normal"/>
    <w:link w:val="Heading1Char"/>
    <w:uiPriority w:val="9"/>
    <w:qFormat/>
    <w:rsid w:val="00A7419B"/>
    <w:pPr>
      <w:keepNext/>
      <w:outlineLvl w:val="0"/>
    </w:pPr>
    <w:rPr>
      <w:rFonts w:ascii="PermianSlabSerifTypeface" w:hAnsi="PermianSlabSerifTypeface"/>
      <w:b/>
      <w:caps/>
      <w:spacing w:val="5"/>
      <w:sz w:val="36"/>
    </w:rPr>
  </w:style>
  <w:style w:type="paragraph" w:styleId="Heading2">
    <w:name w:val="heading 2"/>
    <w:basedOn w:val="Normal"/>
    <w:next w:val="Normal"/>
    <w:link w:val="Heading2Char"/>
    <w:autoRedefine/>
    <w:qFormat/>
    <w:rsid w:val="00F71E24"/>
    <w:pPr>
      <w:keepLines/>
      <w:contextualSpacing/>
      <w:outlineLvl w:val="1"/>
    </w:pPr>
    <w:rPr>
      <w:rFonts w:eastAsiaTheme="majorEastAsia"/>
      <w:b/>
      <w:caps/>
      <w:spacing w:val="5"/>
      <w:sz w:val="28"/>
    </w:rPr>
  </w:style>
  <w:style w:type="paragraph" w:styleId="Heading3">
    <w:name w:val="heading 3"/>
    <w:basedOn w:val="Normal"/>
    <w:next w:val="Normal"/>
    <w:link w:val="Heading3Char"/>
    <w:qFormat/>
    <w:rsid w:val="00666025"/>
    <w:pPr>
      <w:contextualSpacing/>
      <w:outlineLvl w:val="2"/>
    </w:pPr>
    <w:rPr>
      <w:b/>
      <w:caps/>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rPr>
  </w:style>
  <w:style w:type="character" w:styleId="Hyperlink">
    <w:name w:val="Hyperlink"/>
    <w:uiPriority w:val="99"/>
    <w:rPr>
      <w:color w:val="0000FF"/>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suppressAutoHyphens/>
      <w:ind w:left="720"/>
      <w:jc w:val="both"/>
    </w:pPr>
    <w:rPr>
      <w:spacing w:val="-3"/>
      <w:sz w:val="23"/>
      <w:szCs w:val="20"/>
    </w:rPr>
  </w:style>
  <w:style w:type="paragraph" w:styleId="BodyTextIndent2">
    <w:name w:val="Body Text Indent 2"/>
    <w:basedOn w:val="Normal"/>
    <w:pPr>
      <w:tabs>
        <w:tab w:val="left" w:pos="-720"/>
      </w:tabs>
      <w:suppressAutoHyphens/>
      <w:ind w:left="1080"/>
    </w:pPr>
    <w:rPr>
      <w:sz w:val="23"/>
      <w:szCs w:val="20"/>
    </w:rPr>
  </w:style>
  <w:style w:type="paragraph" w:styleId="BalloonText">
    <w:name w:val="Balloon Text"/>
    <w:basedOn w:val="Normal"/>
    <w:link w:val="BalloonTextChar"/>
    <w:uiPriority w:val="99"/>
    <w:semiHidden/>
    <w:rsid w:val="004019C7"/>
    <w:rPr>
      <w:rFonts w:ascii="Tahoma" w:hAnsi="Tahoma" w:cs="Tahoma"/>
      <w:sz w:val="16"/>
      <w:szCs w:val="16"/>
    </w:rPr>
  </w:style>
  <w:style w:type="paragraph" w:customStyle="1" w:styleId="Style1">
    <w:name w:val="Style1"/>
    <w:basedOn w:val="Normal"/>
    <w:rsid w:val="00835EB2"/>
    <w:pPr>
      <w:numPr>
        <w:numId w:val="1"/>
      </w:numPr>
    </w:pPr>
    <w:rPr>
      <w:sz w:val="20"/>
      <w:szCs w:val="20"/>
    </w:rPr>
  </w:style>
  <w:style w:type="paragraph" w:styleId="ListParagraph">
    <w:name w:val="List Paragraph"/>
    <w:basedOn w:val="Normal"/>
    <w:uiPriority w:val="34"/>
    <w:qFormat/>
    <w:rsid w:val="00AF697D"/>
    <w:pPr>
      <w:spacing w:after="200" w:line="276" w:lineRule="auto"/>
      <w:ind w:left="720"/>
      <w:contextualSpacing/>
    </w:pPr>
    <w:rPr>
      <w:rFonts w:ascii="Calibri" w:eastAsia="Calibri" w:hAnsi="Calibri"/>
    </w:rPr>
  </w:style>
  <w:style w:type="paragraph" w:customStyle="1" w:styleId="AgendaItem">
    <w:name w:val="Agenda Item"/>
    <w:rsid w:val="007F3ABC"/>
    <w:pPr>
      <w:tabs>
        <w:tab w:val="left" w:pos="2160"/>
        <w:tab w:val="right" w:pos="10440"/>
      </w:tabs>
      <w:spacing w:before="110" w:after="110"/>
    </w:pPr>
    <w:rPr>
      <w:rFonts w:ascii="Arial" w:hAnsi="Arial"/>
    </w:rPr>
  </w:style>
  <w:style w:type="paragraph" w:customStyle="1" w:styleId="Pa9">
    <w:name w:val="Pa9"/>
    <w:basedOn w:val="Normal"/>
    <w:next w:val="Normal"/>
    <w:uiPriority w:val="99"/>
    <w:rsid w:val="006674FD"/>
    <w:pPr>
      <w:autoSpaceDE w:val="0"/>
      <w:autoSpaceDN w:val="0"/>
      <w:adjustRightInd w:val="0"/>
      <w:spacing w:line="201" w:lineRule="atLeast"/>
    </w:pPr>
    <w:rPr>
      <w:rFonts w:ascii="Adobe Caslon Pro" w:hAnsi="Adobe Caslon Pro"/>
    </w:rPr>
  </w:style>
  <w:style w:type="paragraph" w:customStyle="1" w:styleId="Pa11">
    <w:name w:val="Pa11"/>
    <w:basedOn w:val="Normal"/>
    <w:next w:val="Normal"/>
    <w:uiPriority w:val="99"/>
    <w:rsid w:val="006674FD"/>
    <w:pPr>
      <w:autoSpaceDE w:val="0"/>
      <w:autoSpaceDN w:val="0"/>
      <w:adjustRightInd w:val="0"/>
      <w:spacing w:line="201" w:lineRule="atLeast"/>
    </w:pPr>
    <w:rPr>
      <w:rFonts w:ascii="Adobe Caslon Pro" w:hAnsi="Adobe Caslon Pro"/>
    </w:rPr>
  </w:style>
  <w:style w:type="paragraph" w:customStyle="1" w:styleId="Pa17">
    <w:name w:val="Pa17"/>
    <w:basedOn w:val="Normal"/>
    <w:next w:val="Normal"/>
    <w:uiPriority w:val="99"/>
    <w:rsid w:val="00DA07A0"/>
    <w:pPr>
      <w:autoSpaceDE w:val="0"/>
      <w:autoSpaceDN w:val="0"/>
      <w:adjustRightInd w:val="0"/>
      <w:spacing w:line="261" w:lineRule="atLeast"/>
    </w:pPr>
    <w:rPr>
      <w:rFonts w:ascii="Webdings" w:hAnsi="Webdings"/>
    </w:rPr>
  </w:style>
  <w:style w:type="character" w:customStyle="1" w:styleId="A3">
    <w:name w:val="A3"/>
    <w:uiPriority w:val="99"/>
    <w:rsid w:val="00DA07A0"/>
    <w:rPr>
      <w:rFonts w:cs="Webdings"/>
      <w:color w:val="000000"/>
    </w:rPr>
  </w:style>
  <w:style w:type="character" w:customStyle="1" w:styleId="A4">
    <w:name w:val="A4"/>
    <w:uiPriority w:val="99"/>
    <w:rsid w:val="00DA07A0"/>
    <w:rPr>
      <w:rFonts w:ascii="Adobe Caslon Pro" w:hAnsi="Adobe Caslon Pro" w:cs="Adobe Caslon Pro"/>
      <w:b/>
      <w:bCs/>
      <w:i/>
      <w:iCs/>
      <w:color w:val="000000"/>
      <w:sz w:val="20"/>
      <w:szCs w:val="20"/>
    </w:rPr>
  </w:style>
  <w:style w:type="character" w:styleId="FollowedHyperlink">
    <w:name w:val="FollowedHyperlink"/>
    <w:rsid w:val="00407E20"/>
    <w:rPr>
      <w:color w:val="800080"/>
      <w:u w:val="single"/>
    </w:rPr>
  </w:style>
  <w:style w:type="paragraph" w:customStyle="1" w:styleId="BulletedList">
    <w:name w:val="Bulleted List"/>
    <w:basedOn w:val="Normal"/>
    <w:rsid w:val="00E636F0"/>
    <w:pPr>
      <w:numPr>
        <w:numId w:val="2"/>
      </w:numPr>
    </w:pPr>
  </w:style>
  <w:style w:type="table" w:styleId="TableGrid">
    <w:name w:val="Table Grid"/>
    <w:basedOn w:val="TableNormal"/>
    <w:uiPriority w:val="59"/>
    <w:rsid w:val="00091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
    <w:name w:val="content"/>
    <w:basedOn w:val="Normal"/>
    <w:rsid w:val="007B1CEA"/>
    <w:pPr>
      <w:shd w:val="clear" w:color="auto" w:fill="FFFFFF"/>
      <w:spacing w:before="100" w:beforeAutospacing="1" w:after="100" w:afterAutospacing="1"/>
      <w:ind w:left="150" w:right="105"/>
    </w:pPr>
    <w:rPr>
      <w:rFonts w:ascii="Arial" w:hAnsi="Arial" w:cs="Arial"/>
      <w:color w:val="000000"/>
    </w:rPr>
  </w:style>
  <w:style w:type="paragraph" w:styleId="BlockText">
    <w:name w:val="Block Text"/>
    <w:basedOn w:val="Normal"/>
    <w:rsid w:val="007B1CEA"/>
    <w:pPr>
      <w:spacing w:line="288" w:lineRule="atLeast"/>
      <w:ind w:left="1872" w:right="144"/>
    </w:pPr>
    <w:rPr>
      <w:b/>
      <w:color w:val="000000"/>
      <w:spacing w:val="8"/>
      <w:szCs w:val="20"/>
    </w:rPr>
  </w:style>
  <w:style w:type="paragraph" w:styleId="NormalWeb">
    <w:name w:val="Normal (Web)"/>
    <w:basedOn w:val="Normal"/>
    <w:uiPriority w:val="99"/>
    <w:rsid w:val="007B1CEA"/>
    <w:pPr>
      <w:spacing w:before="100" w:beforeAutospacing="1" w:after="100" w:afterAutospacing="1"/>
    </w:pPr>
  </w:style>
  <w:style w:type="character" w:styleId="HTMLCite">
    <w:name w:val="HTML Cite"/>
    <w:uiPriority w:val="99"/>
    <w:unhideWhenUsed/>
    <w:rsid w:val="00116713"/>
    <w:rPr>
      <w:i/>
      <w:iCs/>
    </w:rPr>
  </w:style>
  <w:style w:type="paragraph" w:styleId="HTMLPreformatted">
    <w:name w:val="HTML Preformatted"/>
    <w:basedOn w:val="Normal"/>
    <w:link w:val="HTMLPreformattedChar"/>
    <w:uiPriority w:val="99"/>
    <w:unhideWhenUsed/>
    <w:rsid w:val="00AA2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AA271E"/>
    <w:rPr>
      <w:rFonts w:ascii="Courier New" w:hAnsi="Courier New" w:cs="Courier New"/>
    </w:rPr>
  </w:style>
  <w:style w:type="character" w:styleId="CommentReference">
    <w:name w:val="annotation reference"/>
    <w:uiPriority w:val="99"/>
    <w:rsid w:val="006D5643"/>
    <w:rPr>
      <w:sz w:val="16"/>
      <w:szCs w:val="16"/>
    </w:rPr>
  </w:style>
  <w:style w:type="paragraph" w:styleId="CommentText">
    <w:name w:val="annotation text"/>
    <w:basedOn w:val="Normal"/>
    <w:link w:val="CommentTextChar"/>
    <w:uiPriority w:val="99"/>
    <w:rsid w:val="006D5643"/>
    <w:rPr>
      <w:sz w:val="20"/>
      <w:szCs w:val="20"/>
    </w:rPr>
  </w:style>
  <w:style w:type="character" w:customStyle="1" w:styleId="CommentTextChar">
    <w:name w:val="Comment Text Char"/>
    <w:basedOn w:val="DefaultParagraphFont"/>
    <w:link w:val="CommentText"/>
    <w:uiPriority w:val="99"/>
    <w:rsid w:val="006D5643"/>
  </w:style>
  <w:style w:type="paragraph" w:styleId="CommentSubject">
    <w:name w:val="annotation subject"/>
    <w:basedOn w:val="CommentText"/>
    <w:next w:val="CommentText"/>
    <w:link w:val="CommentSubjectChar"/>
    <w:uiPriority w:val="99"/>
    <w:rsid w:val="006D5643"/>
    <w:rPr>
      <w:b/>
      <w:bCs/>
    </w:rPr>
  </w:style>
  <w:style w:type="character" w:customStyle="1" w:styleId="CommentSubjectChar">
    <w:name w:val="Comment Subject Char"/>
    <w:link w:val="CommentSubject"/>
    <w:uiPriority w:val="99"/>
    <w:rsid w:val="006D5643"/>
    <w:rPr>
      <w:b/>
      <w:bCs/>
    </w:rPr>
  </w:style>
  <w:style w:type="paragraph" w:customStyle="1" w:styleId="CM88">
    <w:name w:val="CM88"/>
    <w:basedOn w:val="Normal"/>
    <w:next w:val="Normal"/>
    <w:uiPriority w:val="99"/>
    <w:rsid w:val="00463E52"/>
    <w:pPr>
      <w:widowControl w:val="0"/>
      <w:autoSpaceDE w:val="0"/>
      <w:autoSpaceDN w:val="0"/>
      <w:adjustRightInd w:val="0"/>
    </w:pPr>
    <w:rPr>
      <w:rFonts w:ascii="MKJJO B+ New Century Schlbk" w:eastAsiaTheme="minorEastAsia" w:hAnsi="MKJJO B+ New Century Schlbk"/>
    </w:rPr>
  </w:style>
  <w:style w:type="paragraph" w:customStyle="1" w:styleId="CM16">
    <w:name w:val="CM16"/>
    <w:basedOn w:val="Normal"/>
    <w:next w:val="Normal"/>
    <w:uiPriority w:val="99"/>
    <w:rsid w:val="00463E52"/>
    <w:pPr>
      <w:widowControl w:val="0"/>
      <w:autoSpaceDE w:val="0"/>
      <w:autoSpaceDN w:val="0"/>
      <w:adjustRightInd w:val="0"/>
      <w:spacing w:line="203" w:lineRule="atLeast"/>
    </w:pPr>
    <w:rPr>
      <w:rFonts w:ascii="MKJJO B+ New Century Schlbk" w:eastAsiaTheme="minorEastAsia" w:hAnsi="MKJJO B+ New Century Schlbk"/>
    </w:rPr>
  </w:style>
  <w:style w:type="paragraph" w:styleId="FootnoteText">
    <w:name w:val="footnote text"/>
    <w:basedOn w:val="Normal"/>
    <w:link w:val="FootnoteTextChar"/>
    <w:rsid w:val="00313465"/>
    <w:rPr>
      <w:sz w:val="20"/>
      <w:szCs w:val="20"/>
    </w:rPr>
  </w:style>
  <w:style w:type="character" w:customStyle="1" w:styleId="FootnoteTextChar">
    <w:name w:val="Footnote Text Char"/>
    <w:basedOn w:val="DefaultParagraphFont"/>
    <w:link w:val="FootnoteText"/>
    <w:rsid w:val="00313465"/>
  </w:style>
  <w:style w:type="character" w:styleId="FootnoteReference">
    <w:name w:val="footnote reference"/>
    <w:basedOn w:val="DefaultParagraphFont"/>
    <w:rsid w:val="00313465"/>
    <w:rPr>
      <w:vertAlign w:val="superscript"/>
    </w:rPr>
  </w:style>
  <w:style w:type="character" w:styleId="BookTitle">
    <w:name w:val="Book Title"/>
    <w:basedOn w:val="DefaultParagraphFont"/>
    <w:uiPriority w:val="33"/>
    <w:qFormat/>
    <w:rsid w:val="00CD771F"/>
    <w:rPr>
      <w:b/>
      <w:bCs/>
      <w:smallCaps/>
      <w:spacing w:val="5"/>
    </w:rPr>
  </w:style>
  <w:style w:type="character" w:styleId="Emphasis">
    <w:name w:val="Emphasis"/>
    <w:basedOn w:val="DefaultParagraphFont"/>
    <w:qFormat/>
    <w:rsid w:val="007E5F95"/>
    <w:rPr>
      <w:i/>
      <w:iCs/>
    </w:rPr>
  </w:style>
  <w:style w:type="paragraph" w:customStyle="1" w:styleId="Default">
    <w:name w:val="Default"/>
    <w:rsid w:val="00B27AAA"/>
    <w:pPr>
      <w:widowControl w:val="0"/>
      <w:autoSpaceDE w:val="0"/>
      <w:autoSpaceDN w:val="0"/>
      <w:adjustRightInd w:val="0"/>
    </w:pPr>
    <w:rPr>
      <w:rFonts w:ascii="MKJJO B+ New Century Schlbk" w:eastAsiaTheme="minorEastAsia" w:hAnsi="MKJJO B+ New Century Schlbk" w:cs="MKJJO B+ New Century Schlbk"/>
      <w:color w:val="000000"/>
      <w:sz w:val="24"/>
    </w:rPr>
  </w:style>
  <w:style w:type="character" w:styleId="Strong">
    <w:name w:val="Strong"/>
    <w:basedOn w:val="DefaultParagraphFont"/>
    <w:qFormat/>
    <w:rsid w:val="005E7099"/>
    <w:rPr>
      <w:b/>
      <w:bCs/>
    </w:rPr>
  </w:style>
  <w:style w:type="paragraph" w:styleId="TOCHeading">
    <w:name w:val="TOC Heading"/>
    <w:basedOn w:val="Heading1"/>
    <w:next w:val="Normal"/>
    <w:uiPriority w:val="39"/>
    <w:unhideWhenUsed/>
    <w:qFormat/>
    <w:rsid w:val="0040245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ja-JP"/>
    </w:rPr>
  </w:style>
  <w:style w:type="paragraph" w:styleId="TOC1">
    <w:name w:val="toc 1"/>
    <w:basedOn w:val="Normal"/>
    <w:next w:val="Normal"/>
    <w:autoRedefine/>
    <w:uiPriority w:val="39"/>
    <w:qFormat/>
    <w:rsid w:val="00237805"/>
    <w:pPr>
      <w:tabs>
        <w:tab w:val="right" w:leader="dot" w:pos="9350"/>
      </w:tabs>
      <w:spacing w:after="100"/>
    </w:pPr>
    <w:rPr>
      <w:bCs/>
      <w:caps/>
      <w:noProof/>
    </w:rPr>
  </w:style>
  <w:style w:type="character" w:customStyle="1" w:styleId="Heading2Char">
    <w:name w:val="Heading 2 Char"/>
    <w:basedOn w:val="DefaultParagraphFont"/>
    <w:link w:val="Heading2"/>
    <w:rsid w:val="00F71E24"/>
    <w:rPr>
      <w:rFonts w:eastAsiaTheme="majorEastAsia"/>
      <w:b/>
      <w:caps/>
      <w:spacing w:val="5"/>
      <w:sz w:val="28"/>
    </w:rPr>
  </w:style>
  <w:style w:type="character" w:customStyle="1" w:styleId="Heading3Char">
    <w:name w:val="Heading 3 Char"/>
    <w:basedOn w:val="DefaultParagraphFont"/>
    <w:link w:val="Heading3"/>
    <w:rsid w:val="00666025"/>
    <w:rPr>
      <w:b/>
      <w:caps/>
      <w:spacing w:val="20"/>
    </w:rPr>
  </w:style>
  <w:style w:type="paragraph" w:styleId="TOC2">
    <w:name w:val="toc 2"/>
    <w:basedOn w:val="Normal"/>
    <w:next w:val="Normal"/>
    <w:autoRedefine/>
    <w:uiPriority w:val="39"/>
    <w:qFormat/>
    <w:rsid w:val="00B64D45"/>
    <w:pPr>
      <w:tabs>
        <w:tab w:val="left" w:pos="1710"/>
        <w:tab w:val="right" w:leader="dot" w:pos="9350"/>
      </w:tabs>
      <w:spacing w:after="100"/>
      <w:ind w:left="240"/>
    </w:pPr>
  </w:style>
  <w:style w:type="character" w:customStyle="1" w:styleId="FooterChar">
    <w:name w:val="Footer Char"/>
    <w:basedOn w:val="DefaultParagraphFont"/>
    <w:link w:val="Footer"/>
    <w:uiPriority w:val="99"/>
    <w:rsid w:val="00973268"/>
    <w:rPr>
      <w:sz w:val="24"/>
      <w:szCs w:val="24"/>
    </w:rPr>
  </w:style>
  <w:style w:type="paragraph" w:styleId="TOC3">
    <w:name w:val="toc 3"/>
    <w:basedOn w:val="Normal"/>
    <w:next w:val="Normal"/>
    <w:autoRedefine/>
    <w:uiPriority w:val="39"/>
    <w:unhideWhenUsed/>
    <w:qFormat/>
    <w:rsid w:val="004B0F42"/>
    <w:pPr>
      <w:spacing w:after="100"/>
      <w:ind w:left="480"/>
    </w:pPr>
  </w:style>
  <w:style w:type="paragraph" w:styleId="Revision">
    <w:name w:val="Revision"/>
    <w:hidden/>
    <w:uiPriority w:val="99"/>
    <w:semiHidden/>
    <w:rsid w:val="00A70F23"/>
    <w:rPr>
      <w:sz w:val="24"/>
    </w:rPr>
  </w:style>
  <w:style w:type="paragraph" w:styleId="Subtitle">
    <w:name w:val="Subtitle"/>
    <w:basedOn w:val="Normal"/>
    <w:next w:val="Normal"/>
    <w:link w:val="SubtitleChar"/>
    <w:qFormat/>
    <w:rsid w:val="007734F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734F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F161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618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7419B"/>
    <w:rPr>
      <w:rFonts w:ascii="PermianSlabSerifTypeface" w:hAnsi="PermianSlabSerifTypeface"/>
      <w:b/>
      <w:caps/>
      <w:spacing w:val="5"/>
      <w:sz w:val="36"/>
    </w:rPr>
  </w:style>
  <w:style w:type="character" w:customStyle="1" w:styleId="BalloonTextChar">
    <w:name w:val="Balloon Text Char"/>
    <w:basedOn w:val="DefaultParagraphFont"/>
    <w:link w:val="BalloonText"/>
    <w:uiPriority w:val="99"/>
    <w:semiHidden/>
    <w:rsid w:val="00F1618A"/>
    <w:rPr>
      <w:rFonts w:ascii="Tahoma" w:hAnsi="Tahoma" w:cs="Tahoma"/>
      <w:sz w:val="16"/>
      <w:szCs w:val="16"/>
    </w:rPr>
  </w:style>
  <w:style w:type="character" w:customStyle="1" w:styleId="HeaderChar">
    <w:name w:val="Header Char"/>
    <w:basedOn w:val="DefaultParagraphFont"/>
    <w:link w:val="Header"/>
    <w:uiPriority w:val="99"/>
    <w:rsid w:val="00F1618A"/>
    <w:rPr>
      <w:sz w:val="24"/>
      <w:szCs w:val="24"/>
    </w:rPr>
  </w:style>
  <w:style w:type="character" w:styleId="IntenseEmphasis">
    <w:name w:val="Intense Emphasis"/>
    <w:basedOn w:val="DefaultParagraphFont"/>
    <w:uiPriority w:val="21"/>
    <w:qFormat/>
    <w:rsid w:val="00F1618A"/>
    <w:rPr>
      <w:b/>
      <w:bCs/>
      <w:i/>
      <w:iCs/>
      <w:color w:val="4F81BD" w:themeColor="accent1"/>
    </w:rPr>
  </w:style>
  <w:style w:type="character" w:styleId="UnresolvedMention">
    <w:name w:val="Unresolved Mention"/>
    <w:basedOn w:val="DefaultParagraphFont"/>
    <w:uiPriority w:val="99"/>
    <w:semiHidden/>
    <w:unhideWhenUsed/>
    <w:rsid w:val="008470C1"/>
    <w:rPr>
      <w:color w:val="605E5C"/>
      <w:shd w:val="clear" w:color="auto" w:fill="E1DFDD"/>
    </w:rPr>
  </w:style>
  <w:style w:type="table" w:customStyle="1" w:styleId="TableGrid1">
    <w:name w:val="Table Grid1"/>
    <w:basedOn w:val="TableNormal"/>
    <w:next w:val="TableGrid"/>
    <w:uiPriority w:val="59"/>
    <w:rsid w:val="008D2C16"/>
    <w:pPr>
      <w:jc w:val="both"/>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D2C16"/>
    <w:pPr>
      <w:spacing w:after="200" w:line="276" w:lineRule="auto"/>
    </w:pPr>
    <w:rPr>
      <w:rFonts w:ascii="Calibri" w:eastAsiaTheme="minorHAns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9D053B"/>
    <w:rPr>
      <w:color w:val="2B579A"/>
      <w:shd w:val="clear" w:color="auto" w:fill="E6E6E6"/>
    </w:rPr>
  </w:style>
  <w:style w:type="character" w:customStyle="1" w:styleId="normaltextrun">
    <w:name w:val="normaltextrun"/>
    <w:basedOn w:val="DefaultParagraphFont"/>
    <w:rsid w:val="00442657"/>
  </w:style>
  <w:style w:type="character" w:customStyle="1" w:styleId="eop">
    <w:name w:val="eop"/>
    <w:basedOn w:val="DefaultParagraphFont"/>
    <w:rsid w:val="00442657"/>
  </w:style>
  <w:style w:type="paragraph" w:styleId="EndnoteText">
    <w:name w:val="endnote text"/>
    <w:basedOn w:val="Normal"/>
    <w:link w:val="EndnoteTextChar"/>
    <w:semiHidden/>
    <w:unhideWhenUsed/>
    <w:rsid w:val="00532F5D"/>
    <w:rPr>
      <w:sz w:val="20"/>
      <w:szCs w:val="20"/>
    </w:rPr>
  </w:style>
  <w:style w:type="character" w:customStyle="1" w:styleId="EndnoteTextChar">
    <w:name w:val="Endnote Text Char"/>
    <w:basedOn w:val="DefaultParagraphFont"/>
    <w:link w:val="EndnoteText"/>
    <w:semiHidden/>
    <w:rsid w:val="00532F5D"/>
    <w:rPr>
      <w:sz w:val="20"/>
      <w:szCs w:val="20"/>
    </w:rPr>
  </w:style>
  <w:style w:type="character" w:styleId="EndnoteReference">
    <w:name w:val="endnote reference"/>
    <w:basedOn w:val="DefaultParagraphFont"/>
    <w:semiHidden/>
    <w:unhideWhenUsed/>
    <w:rsid w:val="00532F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7020">
      <w:bodyDiv w:val="1"/>
      <w:marLeft w:val="0"/>
      <w:marRight w:val="0"/>
      <w:marTop w:val="0"/>
      <w:marBottom w:val="0"/>
      <w:divBdr>
        <w:top w:val="none" w:sz="0" w:space="0" w:color="auto"/>
        <w:left w:val="none" w:sz="0" w:space="0" w:color="auto"/>
        <w:bottom w:val="none" w:sz="0" w:space="0" w:color="auto"/>
        <w:right w:val="none" w:sz="0" w:space="0" w:color="auto"/>
      </w:divBdr>
    </w:div>
    <w:div w:id="26880845">
      <w:bodyDiv w:val="1"/>
      <w:marLeft w:val="0"/>
      <w:marRight w:val="0"/>
      <w:marTop w:val="0"/>
      <w:marBottom w:val="0"/>
      <w:divBdr>
        <w:top w:val="none" w:sz="0" w:space="0" w:color="auto"/>
        <w:left w:val="none" w:sz="0" w:space="0" w:color="auto"/>
        <w:bottom w:val="none" w:sz="0" w:space="0" w:color="auto"/>
        <w:right w:val="none" w:sz="0" w:space="0" w:color="auto"/>
      </w:divBdr>
    </w:div>
    <w:div w:id="42096989">
      <w:bodyDiv w:val="1"/>
      <w:marLeft w:val="0"/>
      <w:marRight w:val="0"/>
      <w:marTop w:val="0"/>
      <w:marBottom w:val="0"/>
      <w:divBdr>
        <w:top w:val="none" w:sz="0" w:space="0" w:color="auto"/>
        <w:left w:val="none" w:sz="0" w:space="0" w:color="auto"/>
        <w:bottom w:val="none" w:sz="0" w:space="0" w:color="auto"/>
        <w:right w:val="none" w:sz="0" w:space="0" w:color="auto"/>
      </w:divBdr>
    </w:div>
    <w:div w:id="46881578">
      <w:bodyDiv w:val="1"/>
      <w:marLeft w:val="0"/>
      <w:marRight w:val="0"/>
      <w:marTop w:val="0"/>
      <w:marBottom w:val="0"/>
      <w:divBdr>
        <w:top w:val="none" w:sz="0" w:space="0" w:color="auto"/>
        <w:left w:val="none" w:sz="0" w:space="0" w:color="auto"/>
        <w:bottom w:val="none" w:sz="0" w:space="0" w:color="auto"/>
        <w:right w:val="none" w:sz="0" w:space="0" w:color="auto"/>
      </w:divBdr>
    </w:div>
    <w:div w:id="51317052">
      <w:bodyDiv w:val="1"/>
      <w:marLeft w:val="0"/>
      <w:marRight w:val="0"/>
      <w:marTop w:val="0"/>
      <w:marBottom w:val="0"/>
      <w:divBdr>
        <w:top w:val="none" w:sz="0" w:space="0" w:color="auto"/>
        <w:left w:val="none" w:sz="0" w:space="0" w:color="auto"/>
        <w:bottom w:val="none" w:sz="0" w:space="0" w:color="auto"/>
        <w:right w:val="none" w:sz="0" w:space="0" w:color="auto"/>
      </w:divBdr>
    </w:div>
    <w:div w:id="63989576">
      <w:bodyDiv w:val="1"/>
      <w:marLeft w:val="0"/>
      <w:marRight w:val="0"/>
      <w:marTop w:val="0"/>
      <w:marBottom w:val="0"/>
      <w:divBdr>
        <w:top w:val="none" w:sz="0" w:space="0" w:color="auto"/>
        <w:left w:val="none" w:sz="0" w:space="0" w:color="auto"/>
        <w:bottom w:val="none" w:sz="0" w:space="0" w:color="auto"/>
        <w:right w:val="none" w:sz="0" w:space="0" w:color="auto"/>
      </w:divBdr>
    </w:div>
    <w:div w:id="70932192">
      <w:bodyDiv w:val="1"/>
      <w:marLeft w:val="0"/>
      <w:marRight w:val="0"/>
      <w:marTop w:val="0"/>
      <w:marBottom w:val="0"/>
      <w:divBdr>
        <w:top w:val="none" w:sz="0" w:space="0" w:color="auto"/>
        <w:left w:val="none" w:sz="0" w:space="0" w:color="auto"/>
        <w:bottom w:val="none" w:sz="0" w:space="0" w:color="auto"/>
        <w:right w:val="none" w:sz="0" w:space="0" w:color="auto"/>
      </w:divBdr>
    </w:div>
    <w:div w:id="88888779">
      <w:bodyDiv w:val="1"/>
      <w:marLeft w:val="0"/>
      <w:marRight w:val="0"/>
      <w:marTop w:val="0"/>
      <w:marBottom w:val="0"/>
      <w:divBdr>
        <w:top w:val="none" w:sz="0" w:space="0" w:color="auto"/>
        <w:left w:val="none" w:sz="0" w:space="0" w:color="auto"/>
        <w:bottom w:val="none" w:sz="0" w:space="0" w:color="auto"/>
        <w:right w:val="none" w:sz="0" w:space="0" w:color="auto"/>
      </w:divBdr>
    </w:div>
    <w:div w:id="106200780">
      <w:bodyDiv w:val="1"/>
      <w:marLeft w:val="0"/>
      <w:marRight w:val="0"/>
      <w:marTop w:val="0"/>
      <w:marBottom w:val="0"/>
      <w:divBdr>
        <w:top w:val="none" w:sz="0" w:space="0" w:color="auto"/>
        <w:left w:val="none" w:sz="0" w:space="0" w:color="auto"/>
        <w:bottom w:val="none" w:sz="0" w:space="0" w:color="auto"/>
        <w:right w:val="none" w:sz="0" w:space="0" w:color="auto"/>
      </w:divBdr>
    </w:div>
    <w:div w:id="118573137">
      <w:bodyDiv w:val="1"/>
      <w:marLeft w:val="0"/>
      <w:marRight w:val="0"/>
      <w:marTop w:val="0"/>
      <w:marBottom w:val="0"/>
      <w:divBdr>
        <w:top w:val="none" w:sz="0" w:space="0" w:color="auto"/>
        <w:left w:val="none" w:sz="0" w:space="0" w:color="auto"/>
        <w:bottom w:val="none" w:sz="0" w:space="0" w:color="auto"/>
        <w:right w:val="none" w:sz="0" w:space="0" w:color="auto"/>
      </w:divBdr>
    </w:div>
    <w:div w:id="155655171">
      <w:bodyDiv w:val="1"/>
      <w:marLeft w:val="0"/>
      <w:marRight w:val="0"/>
      <w:marTop w:val="0"/>
      <w:marBottom w:val="0"/>
      <w:divBdr>
        <w:top w:val="none" w:sz="0" w:space="0" w:color="auto"/>
        <w:left w:val="none" w:sz="0" w:space="0" w:color="auto"/>
        <w:bottom w:val="none" w:sz="0" w:space="0" w:color="auto"/>
        <w:right w:val="none" w:sz="0" w:space="0" w:color="auto"/>
      </w:divBdr>
    </w:div>
    <w:div w:id="182793829">
      <w:bodyDiv w:val="1"/>
      <w:marLeft w:val="0"/>
      <w:marRight w:val="0"/>
      <w:marTop w:val="0"/>
      <w:marBottom w:val="0"/>
      <w:divBdr>
        <w:top w:val="none" w:sz="0" w:space="0" w:color="auto"/>
        <w:left w:val="none" w:sz="0" w:space="0" w:color="auto"/>
        <w:bottom w:val="none" w:sz="0" w:space="0" w:color="auto"/>
        <w:right w:val="none" w:sz="0" w:space="0" w:color="auto"/>
      </w:divBdr>
    </w:div>
    <w:div w:id="187715480">
      <w:bodyDiv w:val="1"/>
      <w:marLeft w:val="0"/>
      <w:marRight w:val="0"/>
      <w:marTop w:val="0"/>
      <w:marBottom w:val="0"/>
      <w:divBdr>
        <w:top w:val="none" w:sz="0" w:space="0" w:color="auto"/>
        <w:left w:val="none" w:sz="0" w:space="0" w:color="auto"/>
        <w:bottom w:val="none" w:sz="0" w:space="0" w:color="auto"/>
        <w:right w:val="none" w:sz="0" w:space="0" w:color="auto"/>
      </w:divBdr>
    </w:div>
    <w:div w:id="209802274">
      <w:bodyDiv w:val="1"/>
      <w:marLeft w:val="0"/>
      <w:marRight w:val="0"/>
      <w:marTop w:val="0"/>
      <w:marBottom w:val="0"/>
      <w:divBdr>
        <w:top w:val="none" w:sz="0" w:space="0" w:color="auto"/>
        <w:left w:val="none" w:sz="0" w:space="0" w:color="auto"/>
        <w:bottom w:val="none" w:sz="0" w:space="0" w:color="auto"/>
        <w:right w:val="none" w:sz="0" w:space="0" w:color="auto"/>
      </w:divBdr>
    </w:div>
    <w:div w:id="289941239">
      <w:bodyDiv w:val="1"/>
      <w:marLeft w:val="0"/>
      <w:marRight w:val="0"/>
      <w:marTop w:val="0"/>
      <w:marBottom w:val="0"/>
      <w:divBdr>
        <w:top w:val="none" w:sz="0" w:space="0" w:color="auto"/>
        <w:left w:val="none" w:sz="0" w:space="0" w:color="auto"/>
        <w:bottom w:val="none" w:sz="0" w:space="0" w:color="auto"/>
        <w:right w:val="none" w:sz="0" w:space="0" w:color="auto"/>
      </w:divBdr>
    </w:div>
    <w:div w:id="291180896">
      <w:bodyDiv w:val="1"/>
      <w:marLeft w:val="0"/>
      <w:marRight w:val="0"/>
      <w:marTop w:val="0"/>
      <w:marBottom w:val="0"/>
      <w:divBdr>
        <w:top w:val="none" w:sz="0" w:space="0" w:color="auto"/>
        <w:left w:val="none" w:sz="0" w:space="0" w:color="auto"/>
        <w:bottom w:val="none" w:sz="0" w:space="0" w:color="auto"/>
        <w:right w:val="none" w:sz="0" w:space="0" w:color="auto"/>
      </w:divBdr>
    </w:div>
    <w:div w:id="358630420">
      <w:bodyDiv w:val="1"/>
      <w:marLeft w:val="0"/>
      <w:marRight w:val="0"/>
      <w:marTop w:val="0"/>
      <w:marBottom w:val="0"/>
      <w:divBdr>
        <w:top w:val="none" w:sz="0" w:space="0" w:color="auto"/>
        <w:left w:val="none" w:sz="0" w:space="0" w:color="auto"/>
        <w:bottom w:val="none" w:sz="0" w:space="0" w:color="auto"/>
        <w:right w:val="none" w:sz="0" w:space="0" w:color="auto"/>
      </w:divBdr>
    </w:div>
    <w:div w:id="375587193">
      <w:bodyDiv w:val="1"/>
      <w:marLeft w:val="0"/>
      <w:marRight w:val="0"/>
      <w:marTop w:val="0"/>
      <w:marBottom w:val="0"/>
      <w:divBdr>
        <w:top w:val="none" w:sz="0" w:space="0" w:color="auto"/>
        <w:left w:val="none" w:sz="0" w:space="0" w:color="auto"/>
        <w:bottom w:val="none" w:sz="0" w:space="0" w:color="auto"/>
        <w:right w:val="none" w:sz="0" w:space="0" w:color="auto"/>
      </w:divBdr>
      <w:divsChild>
        <w:div w:id="2116554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9583151">
      <w:bodyDiv w:val="1"/>
      <w:marLeft w:val="0"/>
      <w:marRight w:val="0"/>
      <w:marTop w:val="0"/>
      <w:marBottom w:val="0"/>
      <w:divBdr>
        <w:top w:val="none" w:sz="0" w:space="0" w:color="auto"/>
        <w:left w:val="none" w:sz="0" w:space="0" w:color="auto"/>
        <w:bottom w:val="none" w:sz="0" w:space="0" w:color="auto"/>
        <w:right w:val="none" w:sz="0" w:space="0" w:color="auto"/>
      </w:divBdr>
      <w:divsChild>
        <w:div w:id="814297008">
          <w:marLeft w:val="720"/>
          <w:marRight w:val="0"/>
          <w:marTop w:val="96"/>
          <w:marBottom w:val="120"/>
          <w:divBdr>
            <w:top w:val="none" w:sz="0" w:space="0" w:color="auto"/>
            <w:left w:val="none" w:sz="0" w:space="0" w:color="auto"/>
            <w:bottom w:val="none" w:sz="0" w:space="0" w:color="auto"/>
            <w:right w:val="none" w:sz="0" w:space="0" w:color="auto"/>
          </w:divBdr>
        </w:div>
        <w:div w:id="1062486228">
          <w:marLeft w:val="1440"/>
          <w:marRight w:val="0"/>
          <w:marTop w:val="80"/>
          <w:marBottom w:val="120"/>
          <w:divBdr>
            <w:top w:val="none" w:sz="0" w:space="0" w:color="auto"/>
            <w:left w:val="none" w:sz="0" w:space="0" w:color="auto"/>
            <w:bottom w:val="none" w:sz="0" w:space="0" w:color="auto"/>
            <w:right w:val="none" w:sz="0" w:space="0" w:color="auto"/>
          </w:divBdr>
        </w:div>
        <w:div w:id="1456409615">
          <w:marLeft w:val="1440"/>
          <w:marRight w:val="0"/>
          <w:marTop w:val="80"/>
          <w:marBottom w:val="120"/>
          <w:divBdr>
            <w:top w:val="none" w:sz="0" w:space="0" w:color="auto"/>
            <w:left w:val="none" w:sz="0" w:space="0" w:color="auto"/>
            <w:bottom w:val="none" w:sz="0" w:space="0" w:color="auto"/>
            <w:right w:val="none" w:sz="0" w:space="0" w:color="auto"/>
          </w:divBdr>
        </w:div>
      </w:divsChild>
    </w:div>
    <w:div w:id="512376114">
      <w:bodyDiv w:val="1"/>
      <w:marLeft w:val="0"/>
      <w:marRight w:val="0"/>
      <w:marTop w:val="0"/>
      <w:marBottom w:val="0"/>
      <w:divBdr>
        <w:top w:val="none" w:sz="0" w:space="0" w:color="auto"/>
        <w:left w:val="none" w:sz="0" w:space="0" w:color="auto"/>
        <w:bottom w:val="none" w:sz="0" w:space="0" w:color="auto"/>
        <w:right w:val="none" w:sz="0" w:space="0" w:color="auto"/>
      </w:divBdr>
    </w:div>
    <w:div w:id="524758225">
      <w:bodyDiv w:val="1"/>
      <w:marLeft w:val="0"/>
      <w:marRight w:val="0"/>
      <w:marTop w:val="0"/>
      <w:marBottom w:val="0"/>
      <w:divBdr>
        <w:top w:val="none" w:sz="0" w:space="0" w:color="auto"/>
        <w:left w:val="none" w:sz="0" w:space="0" w:color="auto"/>
        <w:bottom w:val="none" w:sz="0" w:space="0" w:color="auto"/>
        <w:right w:val="none" w:sz="0" w:space="0" w:color="auto"/>
      </w:divBdr>
    </w:div>
    <w:div w:id="566573678">
      <w:bodyDiv w:val="1"/>
      <w:marLeft w:val="0"/>
      <w:marRight w:val="0"/>
      <w:marTop w:val="0"/>
      <w:marBottom w:val="0"/>
      <w:divBdr>
        <w:top w:val="none" w:sz="0" w:space="0" w:color="auto"/>
        <w:left w:val="none" w:sz="0" w:space="0" w:color="auto"/>
        <w:bottom w:val="none" w:sz="0" w:space="0" w:color="auto"/>
        <w:right w:val="none" w:sz="0" w:space="0" w:color="auto"/>
      </w:divBdr>
    </w:div>
    <w:div w:id="676882999">
      <w:bodyDiv w:val="1"/>
      <w:marLeft w:val="0"/>
      <w:marRight w:val="0"/>
      <w:marTop w:val="0"/>
      <w:marBottom w:val="0"/>
      <w:divBdr>
        <w:top w:val="none" w:sz="0" w:space="0" w:color="auto"/>
        <w:left w:val="none" w:sz="0" w:space="0" w:color="auto"/>
        <w:bottom w:val="none" w:sz="0" w:space="0" w:color="auto"/>
        <w:right w:val="none" w:sz="0" w:space="0" w:color="auto"/>
      </w:divBdr>
    </w:div>
    <w:div w:id="690957181">
      <w:bodyDiv w:val="1"/>
      <w:marLeft w:val="0"/>
      <w:marRight w:val="0"/>
      <w:marTop w:val="0"/>
      <w:marBottom w:val="0"/>
      <w:divBdr>
        <w:top w:val="none" w:sz="0" w:space="0" w:color="auto"/>
        <w:left w:val="none" w:sz="0" w:space="0" w:color="auto"/>
        <w:bottom w:val="none" w:sz="0" w:space="0" w:color="auto"/>
        <w:right w:val="none" w:sz="0" w:space="0" w:color="auto"/>
      </w:divBdr>
    </w:div>
    <w:div w:id="738287024">
      <w:bodyDiv w:val="1"/>
      <w:marLeft w:val="0"/>
      <w:marRight w:val="0"/>
      <w:marTop w:val="0"/>
      <w:marBottom w:val="0"/>
      <w:divBdr>
        <w:top w:val="none" w:sz="0" w:space="0" w:color="auto"/>
        <w:left w:val="none" w:sz="0" w:space="0" w:color="auto"/>
        <w:bottom w:val="none" w:sz="0" w:space="0" w:color="auto"/>
        <w:right w:val="none" w:sz="0" w:space="0" w:color="auto"/>
      </w:divBdr>
    </w:div>
    <w:div w:id="743836990">
      <w:bodyDiv w:val="1"/>
      <w:marLeft w:val="0"/>
      <w:marRight w:val="0"/>
      <w:marTop w:val="0"/>
      <w:marBottom w:val="0"/>
      <w:divBdr>
        <w:top w:val="none" w:sz="0" w:space="0" w:color="auto"/>
        <w:left w:val="none" w:sz="0" w:space="0" w:color="auto"/>
        <w:bottom w:val="none" w:sz="0" w:space="0" w:color="auto"/>
        <w:right w:val="none" w:sz="0" w:space="0" w:color="auto"/>
      </w:divBdr>
    </w:div>
    <w:div w:id="799766259">
      <w:bodyDiv w:val="1"/>
      <w:marLeft w:val="0"/>
      <w:marRight w:val="0"/>
      <w:marTop w:val="0"/>
      <w:marBottom w:val="0"/>
      <w:divBdr>
        <w:top w:val="none" w:sz="0" w:space="0" w:color="auto"/>
        <w:left w:val="none" w:sz="0" w:space="0" w:color="auto"/>
        <w:bottom w:val="none" w:sz="0" w:space="0" w:color="auto"/>
        <w:right w:val="none" w:sz="0" w:space="0" w:color="auto"/>
      </w:divBdr>
    </w:div>
    <w:div w:id="814565956">
      <w:bodyDiv w:val="1"/>
      <w:marLeft w:val="0"/>
      <w:marRight w:val="0"/>
      <w:marTop w:val="0"/>
      <w:marBottom w:val="0"/>
      <w:divBdr>
        <w:top w:val="none" w:sz="0" w:space="0" w:color="auto"/>
        <w:left w:val="none" w:sz="0" w:space="0" w:color="auto"/>
        <w:bottom w:val="none" w:sz="0" w:space="0" w:color="auto"/>
        <w:right w:val="none" w:sz="0" w:space="0" w:color="auto"/>
      </w:divBdr>
    </w:div>
    <w:div w:id="924536657">
      <w:bodyDiv w:val="1"/>
      <w:marLeft w:val="0"/>
      <w:marRight w:val="0"/>
      <w:marTop w:val="0"/>
      <w:marBottom w:val="0"/>
      <w:divBdr>
        <w:top w:val="none" w:sz="0" w:space="0" w:color="auto"/>
        <w:left w:val="none" w:sz="0" w:space="0" w:color="auto"/>
        <w:bottom w:val="none" w:sz="0" w:space="0" w:color="auto"/>
        <w:right w:val="none" w:sz="0" w:space="0" w:color="auto"/>
      </w:divBdr>
    </w:div>
    <w:div w:id="955529010">
      <w:bodyDiv w:val="1"/>
      <w:marLeft w:val="0"/>
      <w:marRight w:val="0"/>
      <w:marTop w:val="0"/>
      <w:marBottom w:val="0"/>
      <w:divBdr>
        <w:top w:val="none" w:sz="0" w:space="0" w:color="auto"/>
        <w:left w:val="none" w:sz="0" w:space="0" w:color="auto"/>
        <w:bottom w:val="none" w:sz="0" w:space="0" w:color="auto"/>
        <w:right w:val="none" w:sz="0" w:space="0" w:color="auto"/>
      </w:divBdr>
    </w:div>
    <w:div w:id="998579860">
      <w:bodyDiv w:val="1"/>
      <w:marLeft w:val="0"/>
      <w:marRight w:val="0"/>
      <w:marTop w:val="0"/>
      <w:marBottom w:val="0"/>
      <w:divBdr>
        <w:top w:val="none" w:sz="0" w:space="0" w:color="auto"/>
        <w:left w:val="none" w:sz="0" w:space="0" w:color="auto"/>
        <w:bottom w:val="none" w:sz="0" w:space="0" w:color="auto"/>
        <w:right w:val="none" w:sz="0" w:space="0" w:color="auto"/>
      </w:divBdr>
    </w:div>
    <w:div w:id="1001784928">
      <w:bodyDiv w:val="1"/>
      <w:marLeft w:val="0"/>
      <w:marRight w:val="0"/>
      <w:marTop w:val="0"/>
      <w:marBottom w:val="0"/>
      <w:divBdr>
        <w:top w:val="none" w:sz="0" w:space="0" w:color="auto"/>
        <w:left w:val="none" w:sz="0" w:space="0" w:color="auto"/>
        <w:bottom w:val="none" w:sz="0" w:space="0" w:color="auto"/>
        <w:right w:val="none" w:sz="0" w:space="0" w:color="auto"/>
      </w:divBdr>
    </w:div>
    <w:div w:id="1055740792">
      <w:bodyDiv w:val="1"/>
      <w:marLeft w:val="0"/>
      <w:marRight w:val="0"/>
      <w:marTop w:val="0"/>
      <w:marBottom w:val="0"/>
      <w:divBdr>
        <w:top w:val="none" w:sz="0" w:space="0" w:color="auto"/>
        <w:left w:val="none" w:sz="0" w:space="0" w:color="auto"/>
        <w:bottom w:val="none" w:sz="0" w:space="0" w:color="auto"/>
        <w:right w:val="none" w:sz="0" w:space="0" w:color="auto"/>
      </w:divBdr>
    </w:div>
    <w:div w:id="1057360341">
      <w:bodyDiv w:val="1"/>
      <w:marLeft w:val="0"/>
      <w:marRight w:val="0"/>
      <w:marTop w:val="0"/>
      <w:marBottom w:val="0"/>
      <w:divBdr>
        <w:top w:val="none" w:sz="0" w:space="0" w:color="auto"/>
        <w:left w:val="none" w:sz="0" w:space="0" w:color="auto"/>
        <w:bottom w:val="none" w:sz="0" w:space="0" w:color="auto"/>
        <w:right w:val="none" w:sz="0" w:space="0" w:color="auto"/>
      </w:divBdr>
    </w:div>
    <w:div w:id="1072318178">
      <w:bodyDiv w:val="1"/>
      <w:marLeft w:val="0"/>
      <w:marRight w:val="0"/>
      <w:marTop w:val="0"/>
      <w:marBottom w:val="0"/>
      <w:divBdr>
        <w:top w:val="none" w:sz="0" w:space="0" w:color="auto"/>
        <w:left w:val="none" w:sz="0" w:space="0" w:color="auto"/>
        <w:bottom w:val="none" w:sz="0" w:space="0" w:color="auto"/>
        <w:right w:val="none" w:sz="0" w:space="0" w:color="auto"/>
      </w:divBdr>
    </w:div>
    <w:div w:id="1077828718">
      <w:bodyDiv w:val="1"/>
      <w:marLeft w:val="0"/>
      <w:marRight w:val="0"/>
      <w:marTop w:val="0"/>
      <w:marBottom w:val="0"/>
      <w:divBdr>
        <w:top w:val="none" w:sz="0" w:space="0" w:color="auto"/>
        <w:left w:val="none" w:sz="0" w:space="0" w:color="auto"/>
        <w:bottom w:val="none" w:sz="0" w:space="0" w:color="auto"/>
        <w:right w:val="none" w:sz="0" w:space="0" w:color="auto"/>
      </w:divBdr>
    </w:div>
    <w:div w:id="1116562818">
      <w:bodyDiv w:val="1"/>
      <w:marLeft w:val="0"/>
      <w:marRight w:val="0"/>
      <w:marTop w:val="0"/>
      <w:marBottom w:val="0"/>
      <w:divBdr>
        <w:top w:val="none" w:sz="0" w:space="0" w:color="auto"/>
        <w:left w:val="none" w:sz="0" w:space="0" w:color="auto"/>
        <w:bottom w:val="none" w:sz="0" w:space="0" w:color="auto"/>
        <w:right w:val="none" w:sz="0" w:space="0" w:color="auto"/>
      </w:divBdr>
    </w:div>
    <w:div w:id="1208764604">
      <w:bodyDiv w:val="1"/>
      <w:marLeft w:val="0"/>
      <w:marRight w:val="0"/>
      <w:marTop w:val="0"/>
      <w:marBottom w:val="0"/>
      <w:divBdr>
        <w:top w:val="none" w:sz="0" w:space="0" w:color="auto"/>
        <w:left w:val="none" w:sz="0" w:space="0" w:color="auto"/>
        <w:bottom w:val="none" w:sz="0" w:space="0" w:color="auto"/>
        <w:right w:val="none" w:sz="0" w:space="0" w:color="auto"/>
      </w:divBdr>
    </w:div>
    <w:div w:id="1270090931">
      <w:bodyDiv w:val="1"/>
      <w:marLeft w:val="0"/>
      <w:marRight w:val="0"/>
      <w:marTop w:val="0"/>
      <w:marBottom w:val="0"/>
      <w:divBdr>
        <w:top w:val="none" w:sz="0" w:space="0" w:color="auto"/>
        <w:left w:val="none" w:sz="0" w:space="0" w:color="auto"/>
        <w:bottom w:val="none" w:sz="0" w:space="0" w:color="auto"/>
        <w:right w:val="none" w:sz="0" w:space="0" w:color="auto"/>
      </w:divBdr>
    </w:div>
    <w:div w:id="1275406869">
      <w:bodyDiv w:val="1"/>
      <w:marLeft w:val="0"/>
      <w:marRight w:val="0"/>
      <w:marTop w:val="0"/>
      <w:marBottom w:val="0"/>
      <w:divBdr>
        <w:top w:val="none" w:sz="0" w:space="0" w:color="auto"/>
        <w:left w:val="none" w:sz="0" w:space="0" w:color="auto"/>
        <w:bottom w:val="none" w:sz="0" w:space="0" w:color="auto"/>
        <w:right w:val="none" w:sz="0" w:space="0" w:color="auto"/>
      </w:divBdr>
      <w:divsChild>
        <w:div w:id="238945825">
          <w:marLeft w:val="547"/>
          <w:marRight w:val="0"/>
          <w:marTop w:val="96"/>
          <w:marBottom w:val="120"/>
          <w:divBdr>
            <w:top w:val="none" w:sz="0" w:space="0" w:color="auto"/>
            <w:left w:val="none" w:sz="0" w:space="0" w:color="auto"/>
            <w:bottom w:val="none" w:sz="0" w:space="0" w:color="auto"/>
            <w:right w:val="none" w:sz="0" w:space="0" w:color="auto"/>
          </w:divBdr>
        </w:div>
        <w:div w:id="1405907210">
          <w:marLeft w:val="1166"/>
          <w:marRight w:val="0"/>
          <w:marTop w:val="86"/>
          <w:marBottom w:val="240"/>
          <w:divBdr>
            <w:top w:val="none" w:sz="0" w:space="0" w:color="auto"/>
            <w:left w:val="none" w:sz="0" w:space="0" w:color="auto"/>
            <w:bottom w:val="none" w:sz="0" w:space="0" w:color="auto"/>
            <w:right w:val="none" w:sz="0" w:space="0" w:color="auto"/>
          </w:divBdr>
        </w:div>
        <w:div w:id="1803646251">
          <w:marLeft w:val="1166"/>
          <w:marRight w:val="0"/>
          <w:marTop w:val="86"/>
          <w:marBottom w:val="240"/>
          <w:divBdr>
            <w:top w:val="none" w:sz="0" w:space="0" w:color="auto"/>
            <w:left w:val="none" w:sz="0" w:space="0" w:color="auto"/>
            <w:bottom w:val="none" w:sz="0" w:space="0" w:color="auto"/>
            <w:right w:val="none" w:sz="0" w:space="0" w:color="auto"/>
          </w:divBdr>
        </w:div>
        <w:div w:id="1824270874">
          <w:marLeft w:val="547"/>
          <w:marRight w:val="0"/>
          <w:marTop w:val="96"/>
          <w:marBottom w:val="120"/>
          <w:divBdr>
            <w:top w:val="none" w:sz="0" w:space="0" w:color="auto"/>
            <w:left w:val="none" w:sz="0" w:space="0" w:color="auto"/>
            <w:bottom w:val="none" w:sz="0" w:space="0" w:color="auto"/>
            <w:right w:val="none" w:sz="0" w:space="0" w:color="auto"/>
          </w:divBdr>
        </w:div>
        <w:div w:id="2083480646">
          <w:marLeft w:val="1166"/>
          <w:marRight w:val="0"/>
          <w:marTop w:val="86"/>
          <w:marBottom w:val="240"/>
          <w:divBdr>
            <w:top w:val="none" w:sz="0" w:space="0" w:color="auto"/>
            <w:left w:val="none" w:sz="0" w:space="0" w:color="auto"/>
            <w:bottom w:val="none" w:sz="0" w:space="0" w:color="auto"/>
            <w:right w:val="none" w:sz="0" w:space="0" w:color="auto"/>
          </w:divBdr>
        </w:div>
      </w:divsChild>
    </w:div>
    <w:div w:id="1298997770">
      <w:bodyDiv w:val="1"/>
      <w:marLeft w:val="0"/>
      <w:marRight w:val="0"/>
      <w:marTop w:val="0"/>
      <w:marBottom w:val="0"/>
      <w:divBdr>
        <w:top w:val="none" w:sz="0" w:space="0" w:color="auto"/>
        <w:left w:val="none" w:sz="0" w:space="0" w:color="auto"/>
        <w:bottom w:val="none" w:sz="0" w:space="0" w:color="auto"/>
        <w:right w:val="none" w:sz="0" w:space="0" w:color="auto"/>
      </w:divBdr>
    </w:div>
    <w:div w:id="1411780426">
      <w:bodyDiv w:val="1"/>
      <w:marLeft w:val="0"/>
      <w:marRight w:val="0"/>
      <w:marTop w:val="0"/>
      <w:marBottom w:val="0"/>
      <w:divBdr>
        <w:top w:val="none" w:sz="0" w:space="0" w:color="auto"/>
        <w:left w:val="none" w:sz="0" w:space="0" w:color="auto"/>
        <w:bottom w:val="none" w:sz="0" w:space="0" w:color="auto"/>
        <w:right w:val="none" w:sz="0" w:space="0" w:color="auto"/>
      </w:divBdr>
    </w:div>
    <w:div w:id="1445229647">
      <w:bodyDiv w:val="1"/>
      <w:marLeft w:val="0"/>
      <w:marRight w:val="0"/>
      <w:marTop w:val="0"/>
      <w:marBottom w:val="0"/>
      <w:divBdr>
        <w:top w:val="none" w:sz="0" w:space="0" w:color="auto"/>
        <w:left w:val="none" w:sz="0" w:space="0" w:color="auto"/>
        <w:bottom w:val="none" w:sz="0" w:space="0" w:color="auto"/>
        <w:right w:val="none" w:sz="0" w:space="0" w:color="auto"/>
      </w:divBdr>
    </w:div>
    <w:div w:id="1451238274">
      <w:bodyDiv w:val="1"/>
      <w:marLeft w:val="0"/>
      <w:marRight w:val="0"/>
      <w:marTop w:val="0"/>
      <w:marBottom w:val="0"/>
      <w:divBdr>
        <w:top w:val="none" w:sz="0" w:space="0" w:color="auto"/>
        <w:left w:val="none" w:sz="0" w:space="0" w:color="auto"/>
        <w:bottom w:val="none" w:sz="0" w:space="0" w:color="auto"/>
        <w:right w:val="none" w:sz="0" w:space="0" w:color="auto"/>
      </w:divBdr>
    </w:div>
    <w:div w:id="1471820934">
      <w:bodyDiv w:val="1"/>
      <w:marLeft w:val="0"/>
      <w:marRight w:val="0"/>
      <w:marTop w:val="0"/>
      <w:marBottom w:val="0"/>
      <w:divBdr>
        <w:top w:val="none" w:sz="0" w:space="0" w:color="auto"/>
        <w:left w:val="none" w:sz="0" w:space="0" w:color="auto"/>
        <w:bottom w:val="none" w:sz="0" w:space="0" w:color="auto"/>
        <w:right w:val="none" w:sz="0" w:space="0" w:color="auto"/>
      </w:divBdr>
      <w:divsChild>
        <w:div w:id="1510296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481356">
      <w:bodyDiv w:val="1"/>
      <w:marLeft w:val="0"/>
      <w:marRight w:val="0"/>
      <w:marTop w:val="0"/>
      <w:marBottom w:val="0"/>
      <w:divBdr>
        <w:top w:val="none" w:sz="0" w:space="0" w:color="auto"/>
        <w:left w:val="none" w:sz="0" w:space="0" w:color="auto"/>
        <w:bottom w:val="none" w:sz="0" w:space="0" w:color="auto"/>
        <w:right w:val="none" w:sz="0" w:space="0" w:color="auto"/>
      </w:divBdr>
    </w:div>
    <w:div w:id="1524904148">
      <w:bodyDiv w:val="1"/>
      <w:marLeft w:val="0"/>
      <w:marRight w:val="0"/>
      <w:marTop w:val="0"/>
      <w:marBottom w:val="0"/>
      <w:divBdr>
        <w:top w:val="none" w:sz="0" w:space="0" w:color="auto"/>
        <w:left w:val="none" w:sz="0" w:space="0" w:color="auto"/>
        <w:bottom w:val="none" w:sz="0" w:space="0" w:color="auto"/>
        <w:right w:val="none" w:sz="0" w:space="0" w:color="auto"/>
      </w:divBdr>
    </w:div>
    <w:div w:id="1525096935">
      <w:bodyDiv w:val="1"/>
      <w:marLeft w:val="0"/>
      <w:marRight w:val="0"/>
      <w:marTop w:val="0"/>
      <w:marBottom w:val="0"/>
      <w:divBdr>
        <w:top w:val="none" w:sz="0" w:space="0" w:color="auto"/>
        <w:left w:val="none" w:sz="0" w:space="0" w:color="auto"/>
        <w:bottom w:val="none" w:sz="0" w:space="0" w:color="auto"/>
        <w:right w:val="none" w:sz="0" w:space="0" w:color="auto"/>
      </w:divBdr>
    </w:div>
    <w:div w:id="1548177263">
      <w:bodyDiv w:val="1"/>
      <w:marLeft w:val="0"/>
      <w:marRight w:val="0"/>
      <w:marTop w:val="0"/>
      <w:marBottom w:val="0"/>
      <w:divBdr>
        <w:top w:val="none" w:sz="0" w:space="0" w:color="auto"/>
        <w:left w:val="none" w:sz="0" w:space="0" w:color="auto"/>
        <w:bottom w:val="none" w:sz="0" w:space="0" w:color="auto"/>
        <w:right w:val="none" w:sz="0" w:space="0" w:color="auto"/>
      </w:divBdr>
    </w:div>
    <w:div w:id="1575047512">
      <w:bodyDiv w:val="1"/>
      <w:marLeft w:val="0"/>
      <w:marRight w:val="0"/>
      <w:marTop w:val="0"/>
      <w:marBottom w:val="0"/>
      <w:divBdr>
        <w:top w:val="none" w:sz="0" w:space="0" w:color="auto"/>
        <w:left w:val="none" w:sz="0" w:space="0" w:color="auto"/>
        <w:bottom w:val="none" w:sz="0" w:space="0" w:color="auto"/>
        <w:right w:val="none" w:sz="0" w:space="0" w:color="auto"/>
      </w:divBdr>
      <w:divsChild>
        <w:div w:id="244531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5357657">
      <w:bodyDiv w:val="1"/>
      <w:marLeft w:val="0"/>
      <w:marRight w:val="0"/>
      <w:marTop w:val="0"/>
      <w:marBottom w:val="0"/>
      <w:divBdr>
        <w:top w:val="none" w:sz="0" w:space="0" w:color="auto"/>
        <w:left w:val="none" w:sz="0" w:space="0" w:color="auto"/>
        <w:bottom w:val="none" w:sz="0" w:space="0" w:color="auto"/>
        <w:right w:val="none" w:sz="0" w:space="0" w:color="auto"/>
      </w:divBdr>
      <w:divsChild>
        <w:div w:id="1369454191">
          <w:marLeft w:val="0"/>
          <w:marRight w:val="0"/>
          <w:marTop w:val="0"/>
          <w:marBottom w:val="0"/>
          <w:divBdr>
            <w:top w:val="none" w:sz="0" w:space="0" w:color="auto"/>
            <w:left w:val="none" w:sz="0" w:space="0" w:color="auto"/>
            <w:bottom w:val="none" w:sz="0" w:space="0" w:color="auto"/>
            <w:right w:val="none" w:sz="0" w:space="0" w:color="auto"/>
          </w:divBdr>
        </w:div>
      </w:divsChild>
    </w:div>
    <w:div w:id="1645967617">
      <w:bodyDiv w:val="1"/>
      <w:marLeft w:val="0"/>
      <w:marRight w:val="0"/>
      <w:marTop w:val="0"/>
      <w:marBottom w:val="0"/>
      <w:divBdr>
        <w:top w:val="none" w:sz="0" w:space="0" w:color="auto"/>
        <w:left w:val="none" w:sz="0" w:space="0" w:color="auto"/>
        <w:bottom w:val="none" w:sz="0" w:space="0" w:color="auto"/>
        <w:right w:val="none" w:sz="0" w:space="0" w:color="auto"/>
      </w:divBdr>
    </w:div>
    <w:div w:id="1651707564">
      <w:bodyDiv w:val="1"/>
      <w:marLeft w:val="0"/>
      <w:marRight w:val="0"/>
      <w:marTop w:val="0"/>
      <w:marBottom w:val="0"/>
      <w:divBdr>
        <w:top w:val="none" w:sz="0" w:space="0" w:color="auto"/>
        <w:left w:val="none" w:sz="0" w:space="0" w:color="auto"/>
        <w:bottom w:val="none" w:sz="0" w:space="0" w:color="auto"/>
        <w:right w:val="none" w:sz="0" w:space="0" w:color="auto"/>
      </w:divBdr>
    </w:div>
    <w:div w:id="1717922630">
      <w:bodyDiv w:val="1"/>
      <w:marLeft w:val="0"/>
      <w:marRight w:val="0"/>
      <w:marTop w:val="0"/>
      <w:marBottom w:val="0"/>
      <w:divBdr>
        <w:top w:val="none" w:sz="0" w:space="0" w:color="auto"/>
        <w:left w:val="none" w:sz="0" w:space="0" w:color="auto"/>
        <w:bottom w:val="none" w:sz="0" w:space="0" w:color="auto"/>
        <w:right w:val="none" w:sz="0" w:space="0" w:color="auto"/>
      </w:divBdr>
    </w:div>
    <w:div w:id="1782987918">
      <w:bodyDiv w:val="1"/>
      <w:marLeft w:val="0"/>
      <w:marRight w:val="0"/>
      <w:marTop w:val="0"/>
      <w:marBottom w:val="0"/>
      <w:divBdr>
        <w:top w:val="none" w:sz="0" w:space="0" w:color="auto"/>
        <w:left w:val="none" w:sz="0" w:space="0" w:color="auto"/>
        <w:bottom w:val="none" w:sz="0" w:space="0" w:color="auto"/>
        <w:right w:val="none" w:sz="0" w:space="0" w:color="auto"/>
      </w:divBdr>
    </w:div>
    <w:div w:id="1861429741">
      <w:bodyDiv w:val="1"/>
      <w:marLeft w:val="0"/>
      <w:marRight w:val="0"/>
      <w:marTop w:val="0"/>
      <w:marBottom w:val="0"/>
      <w:divBdr>
        <w:top w:val="none" w:sz="0" w:space="0" w:color="auto"/>
        <w:left w:val="none" w:sz="0" w:space="0" w:color="auto"/>
        <w:bottom w:val="none" w:sz="0" w:space="0" w:color="auto"/>
        <w:right w:val="none" w:sz="0" w:space="0" w:color="auto"/>
      </w:divBdr>
    </w:div>
    <w:div w:id="1890602224">
      <w:bodyDiv w:val="1"/>
      <w:marLeft w:val="0"/>
      <w:marRight w:val="0"/>
      <w:marTop w:val="0"/>
      <w:marBottom w:val="0"/>
      <w:divBdr>
        <w:top w:val="none" w:sz="0" w:space="0" w:color="auto"/>
        <w:left w:val="none" w:sz="0" w:space="0" w:color="auto"/>
        <w:bottom w:val="none" w:sz="0" w:space="0" w:color="auto"/>
        <w:right w:val="none" w:sz="0" w:space="0" w:color="auto"/>
      </w:divBdr>
    </w:div>
    <w:div w:id="1918511770">
      <w:bodyDiv w:val="1"/>
      <w:marLeft w:val="0"/>
      <w:marRight w:val="0"/>
      <w:marTop w:val="0"/>
      <w:marBottom w:val="0"/>
      <w:divBdr>
        <w:top w:val="none" w:sz="0" w:space="0" w:color="auto"/>
        <w:left w:val="none" w:sz="0" w:space="0" w:color="auto"/>
        <w:bottom w:val="none" w:sz="0" w:space="0" w:color="auto"/>
        <w:right w:val="none" w:sz="0" w:space="0" w:color="auto"/>
      </w:divBdr>
    </w:div>
    <w:div w:id="1947544828">
      <w:bodyDiv w:val="1"/>
      <w:marLeft w:val="0"/>
      <w:marRight w:val="0"/>
      <w:marTop w:val="0"/>
      <w:marBottom w:val="0"/>
      <w:divBdr>
        <w:top w:val="none" w:sz="0" w:space="0" w:color="auto"/>
        <w:left w:val="none" w:sz="0" w:space="0" w:color="auto"/>
        <w:bottom w:val="none" w:sz="0" w:space="0" w:color="auto"/>
        <w:right w:val="none" w:sz="0" w:space="0" w:color="auto"/>
      </w:divBdr>
    </w:div>
    <w:div w:id="1988119334">
      <w:bodyDiv w:val="1"/>
      <w:marLeft w:val="0"/>
      <w:marRight w:val="0"/>
      <w:marTop w:val="0"/>
      <w:marBottom w:val="0"/>
      <w:divBdr>
        <w:top w:val="none" w:sz="0" w:space="0" w:color="auto"/>
        <w:left w:val="none" w:sz="0" w:space="0" w:color="auto"/>
        <w:bottom w:val="none" w:sz="0" w:space="0" w:color="auto"/>
        <w:right w:val="none" w:sz="0" w:space="0" w:color="auto"/>
      </w:divBdr>
    </w:div>
    <w:div w:id="206833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header" Target="header4.xml"/><Relationship Id="rId39" Type="http://schemas.openxmlformats.org/officeDocument/2006/relationships/hyperlink" Target="mailto:LaToya.Newson@tn.gov" TargetMode="External"/><Relationship Id="rId21" Type="http://schemas.openxmlformats.org/officeDocument/2006/relationships/hyperlink" Target="https://teams.microsoft.com/l/meetup-join/19%3ameeting_MjBhMzBjYzctNTliNi00ZmE1LWFkYjctOGI4ODY1YjEwNmU3%40thread.v2/0?context=%7b%22Tid%22%3a%22f345bebf-0d71-4337-9281-24b941616c36%22%2c%22Oid%22%3a%22ae91c59e-90fd-4ac0-9945-2c9b08396202%22%7d" TargetMode="External"/><Relationship Id="rId34" Type="http://schemas.openxmlformats.org/officeDocument/2006/relationships/hyperlink" Target="https://www.tn.gov/workforce/jobs-and-education/job-search1/find-local-american-job-center.html" TargetMode="External"/><Relationship Id="rId42" Type="http://schemas.openxmlformats.org/officeDocument/2006/relationships/header" Target="header13.xml"/><Relationship Id="rId47" Type="http://schemas.openxmlformats.org/officeDocument/2006/relationships/hyperlink" Target="https://www.tn.gov/workforce/jobs-and-education/ae/aer/request-for-grant-proposals.html" TargetMode="External"/><Relationship Id="rId50" Type="http://schemas.openxmlformats.org/officeDocument/2006/relationships/hyperlink" Target="mailto:LaToya.Newson@tn.gov" TargetMode="External"/><Relationship Id="rId55"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mailto:Jay.Baker@tn.gov" TargetMode="External"/><Relationship Id="rId17" Type="http://schemas.openxmlformats.org/officeDocument/2006/relationships/hyperlink" Target="mailto:LaToya.Newson@tn.gov" TargetMode="External"/><Relationship Id="rId25" Type="http://schemas.openxmlformats.org/officeDocument/2006/relationships/header" Target="header3.xml"/><Relationship Id="rId33" Type="http://schemas.openxmlformats.org/officeDocument/2006/relationships/hyperlink" Target="https://www.tn.gov/workforce/contact-the-department0/boards---commissions/boards---commissions-redirect/state-workforce-development-board/regional-local-plans.html" TargetMode="External"/><Relationship Id="rId38" Type="http://schemas.openxmlformats.org/officeDocument/2006/relationships/hyperlink" Target="mailto:TL.Smith@tn.gov" TargetMode="External"/><Relationship Id="rId46" Type="http://schemas.openxmlformats.org/officeDocument/2006/relationships/footer" Target="footer5.xml"/><Relationship Id="rId59"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mailto:TL.Smith@tn.gov" TargetMode="External"/><Relationship Id="rId20" Type="http://schemas.openxmlformats.org/officeDocument/2006/relationships/hyperlink" Target="https://www.tn.gov/workforce/jobs-and-education/ae/aer/request-for-grant-proposals.html" TargetMode="External"/><Relationship Id="rId29" Type="http://schemas.openxmlformats.org/officeDocument/2006/relationships/header" Target="header7.xml"/><Relationship Id="rId41" Type="http://schemas.openxmlformats.org/officeDocument/2006/relationships/header" Target="header12.xml"/><Relationship Id="rId54"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tel:+16292094396,,582782039" TargetMode="External"/><Relationship Id="rId32" Type="http://schemas.openxmlformats.org/officeDocument/2006/relationships/header" Target="header9.xml"/><Relationship Id="rId37" Type="http://schemas.openxmlformats.org/officeDocument/2006/relationships/hyperlink" Target="mailto:Jay.Baker@tn.gov" TargetMode="External"/><Relationship Id="rId40" Type="http://schemas.openxmlformats.org/officeDocument/2006/relationships/hyperlink" Target="mailto:AdultEducation@tn.gov" TargetMode="External"/><Relationship Id="rId45" Type="http://schemas.openxmlformats.org/officeDocument/2006/relationships/header" Target="header14.xml"/><Relationship Id="rId53" Type="http://schemas.openxmlformats.org/officeDocument/2006/relationships/hyperlink" Target="https://www.tn.gov/workforce/jobs-and-education/ae/aer/request-for-grant-proposals.html"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microsoft.com/microsoft-teams/join-a-meeting" TargetMode="External"/><Relationship Id="rId28" Type="http://schemas.openxmlformats.org/officeDocument/2006/relationships/header" Target="header6.xml"/><Relationship Id="rId36" Type="http://schemas.openxmlformats.org/officeDocument/2006/relationships/header" Target="header11.xml"/><Relationship Id="rId49" Type="http://schemas.openxmlformats.org/officeDocument/2006/relationships/hyperlink" Target="mailto:TL.Smith@tn.gov"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n.gov/workforce/jobs-and-education/ae/aer/request-for-grant-proposals.html" TargetMode="External"/><Relationship Id="rId31" Type="http://schemas.openxmlformats.org/officeDocument/2006/relationships/header" Target="header8.xml"/><Relationship Id="rId44" Type="http://schemas.openxmlformats.org/officeDocument/2006/relationships/footer" Target="footer4.xml"/><Relationship Id="rId52" Type="http://schemas.openxmlformats.org/officeDocument/2006/relationships/header" Target="header16.xml"/><Relationship Id="rId60"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microsoft.com/en-us/microsoft-teams/download-app" TargetMode="External"/><Relationship Id="rId27" Type="http://schemas.openxmlformats.org/officeDocument/2006/relationships/header" Target="header5.xml"/><Relationship Id="rId30" Type="http://schemas.openxmlformats.org/officeDocument/2006/relationships/hyperlink" Target="https://www.ecfr.gov/cgi-bin/text-idx?SID=2cd1a48e4840d5ea60501e176d92c66c&amp;mc=true&amp;node=sp2.1.200.e&amp;rgn=div6" TargetMode="External"/><Relationship Id="rId35" Type="http://schemas.openxmlformats.org/officeDocument/2006/relationships/header" Target="header10.xml"/><Relationship Id="rId43" Type="http://schemas.openxmlformats.org/officeDocument/2006/relationships/footer" Target="footer3.xml"/><Relationship Id="rId48" Type="http://schemas.openxmlformats.org/officeDocument/2006/relationships/hyperlink" Target="mailto:Jay.Baker@tn.gov" TargetMode="External"/><Relationship Id="rId56" Type="http://schemas.openxmlformats.org/officeDocument/2006/relationships/header" Target="header18.xml"/><Relationship Id="rId8" Type="http://schemas.openxmlformats.org/officeDocument/2006/relationships/webSettings" Target="webSettings.xml"/><Relationship Id="rId51" Type="http://schemas.openxmlformats.org/officeDocument/2006/relationships/header" Target="header15.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ecfr.gov/current/title-34/subtitle-B/chapter-IV/part-463/subpart-G/section-463.74" TargetMode="External"/><Relationship Id="rId13" Type="http://schemas.openxmlformats.org/officeDocument/2006/relationships/hyperlink" Target="https://nrsweb.org/sites/default/files/NRS-TA-Mar2021-508.pdf" TargetMode="External"/><Relationship Id="rId18" Type="http://schemas.openxmlformats.org/officeDocument/2006/relationships/hyperlink" Target="https://www.ecfr.gov/current/title-34/subtitle-B/chapter-IV/part-463/subpart-C/section-463.25" TargetMode="External"/><Relationship Id="rId26" Type="http://schemas.openxmlformats.org/officeDocument/2006/relationships/hyperlink" Target="https://www.ecfr.gov/current/title-20/section-679.310" TargetMode="External"/><Relationship Id="rId3" Type="http://schemas.openxmlformats.org/officeDocument/2006/relationships/hyperlink" Target="https://www.ecfr.gov/current/title-34/subtitle-B/chapter-IV/part-463/subpart-G/section-463.75" TargetMode="External"/><Relationship Id="rId21" Type="http://schemas.openxmlformats.org/officeDocument/2006/relationships/hyperlink" Target="https://www.ecfr.gov/current/title-34/subtitle-B/chapter-IV/part-463/subpart-J/section-463.420" TargetMode="External"/><Relationship Id="rId34" Type="http://schemas.openxmlformats.org/officeDocument/2006/relationships/hyperlink" Target="https://www2.ed.gov/fund/grant/apply/appforms/gepa427.doc" TargetMode="External"/><Relationship Id="rId7" Type="http://schemas.openxmlformats.org/officeDocument/2006/relationships/hyperlink" Target="https://www.ecfr.gov/current/title-34/subtitle-B/chapter-IV/part-463/subpart-D/section-463.36" TargetMode="External"/><Relationship Id="rId12" Type="http://schemas.openxmlformats.org/officeDocument/2006/relationships/hyperlink" Target="https://www.ecfr.gov/current/title-34/section-463.34" TargetMode="External"/><Relationship Id="rId17" Type="http://schemas.openxmlformats.org/officeDocument/2006/relationships/hyperlink" Target="https://www.govinfo.gov/content/pkg/PLAW-113publ128/pdf/PLAW-113publ128.pdf" TargetMode="External"/><Relationship Id="rId25" Type="http://schemas.openxmlformats.org/officeDocument/2006/relationships/hyperlink" Target="https://lincs.ed.gov/publications/pdf/elp-standards-adult-ed.pdf" TargetMode="External"/><Relationship Id="rId33" Type="http://schemas.openxmlformats.org/officeDocument/2006/relationships/hyperlink" Target="https://www.ecfr.gov/current/title-34/subtitle-B/chapter-IV/part-463/subpart-C/section-463.22" TargetMode="External"/><Relationship Id="rId2" Type="http://schemas.openxmlformats.org/officeDocument/2006/relationships/hyperlink" Target="https://www.govinfo.gov/content/pkg/PLAW-113publ128/pdf/PLAW-113publ128.pdf" TargetMode="External"/><Relationship Id="rId16" Type="http://schemas.openxmlformats.org/officeDocument/2006/relationships/hyperlink" Target="https://www.ecfr.gov/current/title-2/subtitle-A/chapter-II/part-200/subpart-E/subject-group-ECFRea20080eff2ea53/section-200.405" TargetMode="External"/><Relationship Id="rId20" Type="http://schemas.openxmlformats.org/officeDocument/2006/relationships/hyperlink" Target="https://www.ecfr.gov/cgi-bin/retrieveECFR?gp=&amp;SID=851c62d6eff4b4a4e5f8657176550094&amp;mc=true&amp;r=PART&amp;n=pt34.3.463" TargetMode="External"/><Relationship Id="rId29" Type="http://schemas.openxmlformats.org/officeDocument/2006/relationships/hyperlink" Target="https://www.ecfr.gov/current/title-34/section-463.420" TargetMode="External"/><Relationship Id="rId1" Type="http://schemas.openxmlformats.org/officeDocument/2006/relationships/hyperlink" Target="https://www.ecfr.gov/current/title-34/section-463.1" TargetMode="External"/><Relationship Id="rId6" Type="http://schemas.openxmlformats.org/officeDocument/2006/relationships/hyperlink" Target="https://www.ecfr.gov/current/title-34/subtitle-B/chapter-IV/part-463/subpart-G/section-463.70" TargetMode="External"/><Relationship Id="rId11" Type="http://schemas.openxmlformats.org/officeDocument/2006/relationships/hyperlink" Target="https://www.ecfr.gov/current/title-34/section-463.35" TargetMode="External"/><Relationship Id="rId24" Type="http://schemas.openxmlformats.org/officeDocument/2006/relationships/hyperlink" Target="https://lincs.ed.gov/publications/pdf/CCRStandardsAdultEd.pdf" TargetMode="External"/><Relationship Id="rId32" Type="http://schemas.openxmlformats.org/officeDocument/2006/relationships/hyperlink" Target="https://www.ecfr.gov/current/title-34/subtitle-B/chapter-IV/part-463/subpart-C/section-463.20" TargetMode="External"/><Relationship Id="rId5" Type="http://schemas.openxmlformats.org/officeDocument/2006/relationships/hyperlink" Target="https://www.govinfo.gov/content/pkg/PLAW-113publ128/pdf/PLAW-113publ128.pdf" TargetMode="External"/><Relationship Id="rId15" Type="http://schemas.openxmlformats.org/officeDocument/2006/relationships/hyperlink" Target="https://www.ecfr.gov/current/title-2/subtitle-A/chapter-II/part-200/subpart-E/subject-group-ECFRea20080eff2ea53/section-200.404" TargetMode="External"/><Relationship Id="rId23" Type="http://schemas.openxmlformats.org/officeDocument/2006/relationships/hyperlink" Target="https://www.ecfr.gov/cgi-bin/text-idx?SID=473343904d42417ea03cd8835ad2eb1f&amp;mc=true&amp;node=se34.1.76_1563&amp;rgn=div8" TargetMode="External"/><Relationship Id="rId28" Type="http://schemas.openxmlformats.org/officeDocument/2006/relationships/hyperlink" Target="https://www.ecfr.gov/current/title-34/section-463.305" TargetMode="External"/><Relationship Id="rId36" Type="http://schemas.openxmlformats.org/officeDocument/2006/relationships/hyperlink" Target="https://www.ecfr.gov/current/title-34/subtitle-B/chapter-IV/part-463/subpart-C/section-463.24" TargetMode="External"/><Relationship Id="rId10" Type="http://schemas.openxmlformats.org/officeDocument/2006/relationships/hyperlink" Target="https://www.govinfo.gov/content/pkg/PLAW-113publ128/pdf/PLAW-113publ128.pdf" TargetMode="External"/><Relationship Id="rId19" Type="http://schemas.openxmlformats.org/officeDocument/2006/relationships/hyperlink" Target="https://www.ecfr.gov/current/title-34/subtitle-B/chapter-IV/part-463/subpart-C/section-463.26" TargetMode="External"/><Relationship Id="rId31" Type="http://schemas.openxmlformats.org/officeDocument/2006/relationships/hyperlink" Target="https://www.ecfr.gov/current/title-34/subtitle-B/chapter-IV/part-463" TargetMode="External"/><Relationship Id="rId4" Type="http://schemas.openxmlformats.org/officeDocument/2006/relationships/hyperlink" Target="https://www.govinfo.gov/content/pkg/PLAW-113publ128/pdf/PLAW-113publ128.pdf" TargetMode="External"/><Relationship Id="rId9" Type="http://schemas.openxmlformats.org/officeDocument/2006/relationships/hyperlink" Target="https://www.ecfr.gov/current/title-34/subtitle-B/chapter-IV/part-463/subpart-G/section-463.73" TargetMode="External"/><Relationship Id="rId14" Type="http://schemas.openxmlformats.org/officeDocument/2006/relationships/hyperlink" Target="https://www.ecfr.gov/current/title-2/subtitle-A/chapter-II/part-200/subpart-E/subject-group-ECFRea20080eff2ea53/section-200.403" TargetMode="External"/><Relationship Id="rId22" Type="http://schemas.openxmlformats.org/officeDocument/2006/relationships/hyperlink" Target="https://www.ecfr.gov/cgi-bin/text-idx?SID=5c3f9ec9ec46d6314c6821f42d70fbb1&amp;mc=true&amp;node=pt2.1.200&amp;rgn=div5" TargetMode="External"/><Relationship Id="rId27" Type="http://schemas.openxmlformats.org/officeDocument/2006/relationships/hyperlink" Target="https://www.ecfr.gov/cgi-bin/retrieveECFR?gp=&amp;SID=a73a0f33bbbfdf811224a1d1d885f237&amp;mc=true&amp;n=pt34.3.463&amp;r=PART&amp;ty=HTML" TargetMode="External"/><Relationship Id="rId30" Type="http://schemas.openxmlformats.org/officeDocument/2006/relationships/hyperlink" Target="https://www.ecfr.gov/cgi-bin/retrieveECFR?gp=&amp;SID=a73a0f33bbbfdf811224a1d1d885f237&amp;mc=true&amp;n=pt34.3.463&amp;r=PART&amp;ty=HTML" TargetMode="External"/><Relationship Id="rId35" Type="http://schemas.openxmlformats.org/officeDocument/2006/relationships/hyperlink" Target="https://www.irs.gov/pub/irs-utl/duns_num_guide.pdf" TargetMode="External"/></Relationships>
</file>

<file path=word/documenttasks/documenttasks1.xml><?xml version="1.0" encoding="utf-8"?>
<t:Tasks xmlns:t="http://schemas.microsoft.com/office/tasks/2019/documenttasks" xmlns:oel="http://schemas.microsoft.com/office/2019/extlst">
  <t:Task id="{18BA0048-B3AD-4629-801C-F3E46944B31F}">
    <t:Anchor>
      <t:Comment id="1148166023"/>
    </t:Anchor>
    <t:History>
      <t:Event id="{84154C42-428D-48D3-9785-24591F63B1B4}" time="2023-02-01T15:13:40.136Z">
        <t:Attribution userId="S::cg50931@tn.gov::ba244ba2-c0de-4a94-9203-d1cf7e550a92" userProvider="AD" userName="Debbie Fillers"/>
        <t:Anchor>
          <t:Comment id="1148166023"/>
        </t:Anchor>
        <t:Create/>
      </t:Event>
      <t:Event id="{C7255B97-90F5-4255-AEE2-87560D6622E9}" time="2023-02-01T15:13:40.136Z">
        <t:Attribution userId="S::cg50931@tn.gov::ba244ba2-c0de-4a94-9203-d1cf7e550a92" userProvider="AD" userName="Debbie Fillers"/>
        <t:Anchor>
          <t:Comment id="1148166023"/>
        </t:Anchor>
        <t:Assign userId="S::CG00199@tn.gov::ae91c59e-90fd-4ac0-9945-2c9b08396202" userProvider="AD" userName="Jay Baker"/>
      </t:Event>
      <t:Event id="{06DCEEC6-BF19-4405-B67A-26C33ECBB889}" time="2023-02-01T15:13:40.136Z">
        <t:Attribution userId="S::cg50931@tn.gov::ba244ba2-c0de-4a94-9203-d1cf7e550a92" userProvider="AD" userName="Debbie Fillers"/>
        <t:Anchor>
          <t:Comment id="1148166023"/>
        </t:Anchor>
        <t:SetTitle title="end quotes? @Jay Bake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1484E30EC9084097AC313BA4A20E34" ma:contentTypeVersion="8" ma:contentTypeDescription="Create a new document." ma:contentTypeScope="" ma:versionID="64405548c8d76979ad058ed84d4b41cf">
  <xsd:schema xmlns:xsd="http://www.w3.org/2001/XMLSchema" xmlns:xs="http://www.w3.org/2001/XMLSchema" xmlns:p="http://schemas.microsoft.com/office/2006/metadata/properties" xmlns:ns3="7db31118-746a-4f56-b872-dd2b52e5e092" xmlns:ns4="148d9b58-18e3-4a08-b932-f6021583612f" targetNamespace="http://schemas.microsoft.com/office/2006/metadata/properties" ma:root="true" ma:fieldsID="acd3d55195ee3ae70a2b4f52863925a9" ns3:_="" ns4:_="">
    <xsd:import namespace="7db31118-746a-4f56-b872-dd2b52e5e092"/>
    <xsd:import namespace="148d9b58-18e3-4a08-b932-f602158361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31118-746a-4f56-b872-dd2b52e5e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8d9b58-18e3-4a08-b932-f602158361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29D6B7-0DE8-4D60-A71A-300F3EDF0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31118-746a-4f56-b872-dd2b52e5e092"/>
    <ds:schemaRef ds:uri="148d9b58-18e3-4a08-b932-f6021583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DC88A7-0286-4580-A788-61371EC9E402}">
  <ds:schemaRefs>
    <ds:schemaRef ds:uri="http://schemas.openxmlformats.org/officeDocument/2006/bibliography"/>
  </ds:schemaRefs>
</ds:datastoreItem>
</file>

<file path=customXml/itemProps3.xml><?xml version="1.0" encoding="utf-8"?>
<ds:datastoreItem xmlns:ds="http://schemas.openxmlformats.org/officeDocument/2006/customXml" ds:itemID="{0EFA90E4-4C46-4993-A2E1-4F1C2CAB0AB5}">
  <ds:schemaRefs>
    <ds:schemaRef ds:uri="http://schemas.microsoft.com/sharepoint/v3/contenttype/forms"/>
  </ds:schemaRefs>
</ds:datastoreItem>
</file>

<file path=customXml/itemProps4.xml><?xml version="1.0" encoding="utf-8"?>
<ds:datastoreItem xmlns:ds="http://schemas.openxmlformats.org/officeDocument/2006/customXml" ds:itemID="{EEC91DC1-82B0-4F4F-A898-40CBD2F1BC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30410</TotalTime>
  <Pages>57</Pages>
  <Words>14686</Words>
  <Characters>83712</Characters>
  <Application>Microsoft Office Word</Application>
  <DocSecurity>0</DocSecurity>
  <Lines>697</Lines>
  <Paragraphs>196</Paragraphs>
  <ScaleCrop>false</ScaleCrop>
  <Company>Tennessee Dept. of Labor.</Company>
  <LinksUpToDate>false</LinksUpToDate>
  <CharactersWithSpaces>98202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Department of Labor and Workforce Education,</dc:title>
  <dc:subject/>
  <dc:creator>Pat Sawyer</dc:creator>
  <cp:keywords/>
  <dc:description/>
  <cp:lastModifiedBy>Jay Baker</cp:lastModifiedBy>
  <cp:revision>4070</cp:revision>
  <cp:lastPrinted>2021-06-18T19:43:00Z</cp:lastPrinted>
  <dcterms:created xsi:type="dcterms:W3CDTF">2022-10-30T17:22:00Z</dcterms:created>
  <dcterms:modified xsi:type="dcterms:W3CDTF">2023-03-01T22:13:00Z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0x010100751484E30EC9084097AC313BA4A20E34</vt:lpwstr>
  </property>
</Properties>
</file>