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992807">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2A3C09">
        <w:rPr>
          <w:rFonts w:ascii="Arial" w:hAnsi="Arial"/>
          <w:sz w:val="24"/>
        </w:rPr>
        <w:t>September 7, 2016</w:t>
      </w:r>
      <w:r w:rsidR="00CD091E">
        <w:rPr>
          <w:rFonts w:ascii="Arial" w:hAnsi="Arial"/>
          <w:sz w:val="24"/>
        </w:rPr>
        <w:t xml:space="preserve"> </w:t>
      </w:r>
    </w:p>
    <w:p w:rsidR="00992807" w:rsidRDefault="00992807" w:rsidP="00992807">
      <w:pPr>
        <w:widowControl w:val="0"/>
        <w:tabs>
          <w:tab w:val="left" w:pos="-1440"/>
        </w:tabs>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r w:rsidR="00410472">
        <w:rPr>
          <w:rFonts w:ascii="Arial" w:hAnsi="Arial"/>
          <w:sz w:val="24"/>
        </w:rPr>
        <w:t>Amber Ricks</w:t>
      </w:r>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F673F3" w:rsidRDefault="003A7A99" w:rsidP="00FC3C59">
      <w:pPr>
        <w:widowControl w:val="0"/>
        <w:tabs>
          <w:tab w:val="left" w:pos="3060"/>
          <w:tab w:val="left" w:pos="3420"/>
          <w:tab w:val="left" w:pos="3600"/>
          <w:tab w:val="left" w:pos="3780"/>
          <w:tab w:val="left" w:pos="3960"/>
        </w:tabs>
        <w:jc w:val="both"/>
        <w:rPr>
          <w:rFonts w:ascii="Arial" w:hAnsi="Arial"/>
          <w:sz w:val="24"/>
        </w:rPr>
      </w:pPr>
      <w:r>
        <w:rPr>
          <w:rFonts w:ascii="Arial" w:hAnsi="Arial"/>
          <w:b/>
          <w:sz w:val="24"/>
        </w:rPr>
        <w:t>Name of Board or Committee:</w:t>
      </w:r>
      <w:r w:rsidR="00FC3C59">
        <w:rPr>
          <w:rFonts w:ascii="Arial" w:hAnsi="Arial"/>
          <w:sz w:val="24"/>
        </w:rPr>
        <w:t xml:space="preserve">  Education Committee</w:t>
      </w:r>
    </w:p>
    <w:p w:rsidR="00CD4EDA" w:rsidRPr="00F673F3" w:rsidRDefault="00CD4EDA" w:rsidP="00F673F3">
      <w:pPr>
        <w:widowControl w:val="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Default="00F673F3" w:rsidP="00FC3C59">
      <w:pPr>
        <w:widowControl w:val="0"/>
        <w:jc w:val="both"/>
        <w:rPr>
          <w:rFonts w:ascii="Arial" w:hAnsi="Arial"/>
          <w:sz w:val="24"/>
        </w:rPr>
      </w:pPr>
      <w:r w:rsidRPr="00F673F3">
        <w:rPr>
          <w:rFonts w:ascii="Arial" w:hAnsi="Arial"/>
          <w:sz w:val="24"/>
        </w:rPr>
        <w:t xml:space="preserve"> </w:t>
      </w:r>
      <w:r w:rsidR="003A7A99">
        <w:rPr>
          <w:rFonts w:ascii="Arial" w:hAnsi="Arial"/>
          <w:b/>
          <w:sz w:val="24"/>
        </w:rPr>
        <w:t>Date of Meeting:</w:t>
      </w:r>
      <w:r w:rsidR="003A7A99">
        <w:rPr>
          <w:rFonts w:ascii="Arial" w:hAnsi="Arial"/>
          <w:sz w:val="24"/>
        </w:rPr>
        <w:tab/>
      </w:r>
      <w:r>
        <w:rPr>
          <w:rFonts w:ascii="Arial" w:hAnsi="Arial"/>
          <w:sz w:val="24"/>
        </w:rPr>
        <w:tab/>
      </w:r>
      <w:r>
        <w:rPr>
          <w:rFonts w:ascii="Arial" w:hAnsi="Arial"/>
          <w:sz w:val="24"/>
        </w:rPr>
        <w:tab/>
      </w:r>
      <w:r w:rsidR="002A3C09">
        <w:rPr>
          <w:rFonts w:ascii="Arial" w:hAnsi="Arial"/>
          <w:sz w:val="24"/>
        </w:rPr>
        <w:t>September 27</w:t>
      </w:r>
      <w:r w:rsidR="002A3C09" w:rsidRPr="002A3C09">
        <w:rPr>
          <w:rFonts w:ascii="Arial" w:hAnsi="Arial"/>
          <w:sz w:val="24"/>
          <w:vertAlign w:val="superscript"/>
        </w:rPr>
        <w:t>th</w:t>
      </w:r>
      <w:r w:rsidR="00410472">
        <w:rPr>
          <w:rFonts w:ascii="Arial" w:hAnsi="Arial"/>
          <w:sz w:val="24"/>
        </w:rPr>
        <w:t>, 2016</w:t>
      </w:r>
      <w:r w:rsidR="003A7A99">
        <w:rPr>
          <w:rFonts w:ascii="Arial" w:hAnsi="Arial"/>
          <w:sz w:val="24"/>
        </w:rPr>
        <w:tab/>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Time:</w:t>
      </w:r>
      <w:r>
        <w:rPr>
          <w:rFonts w:ascii="Arial" w:hAnsi="Arial"/>
          <w:sz w:val="24"/>
        </w:rPr>
        <w:tab/>
      </w:r>
      <w:r w:rsidR="00F673F3">
        <w:rPr>
          <w:rFonts w:ascii="Arial" w:hAnsi="Arial"/>
          <w:sz w:val="24"/>
        </w:rPr>
        <w:tab/>
      </w:r>
      <w:r w:rsidR="00F673F3">
        <w:rPr>
          <w:rFonts w:ascii="Arial" w:hAnsi="Arial"/>
          <w:sz w:val="24"/>
        </w:rPr>
        <w:tab/>
      </w:r>
      <w:r w:rsidR="00F673F3">
        <w:rPr>
          <w:rFonts w:ascii="Arial" w:hAnsi="Arial"/>
          <w:sz w:val="24"/>
        </w:rPr>
        <w:tab/>
      </w:r>
      <w:r w:rsidR="00F673F3">
        <w:rPr>
          <w:rFonts w:ascii="Arial" w:hAnsi="Arial"/>
          <w:sz w:val="24"/>
        </w:rPr>
        <w:tab/>
      </w:r>
      <w:r w:rsidR="00B71CB9">
        <w:rPr>
          <w:rFonts w:ascii="Arial" w:hAnsi="Arial"/>
          <w:sz w:val="24"/>
        </w:rPr>
        <w:t>1:</w:t>
      </w:r>
      <w:r w:rsidR="003013B1">
        <w:rPr>
          <w:rFonts w:ascii="Arial" w:hAnsi="Arial"/>
          <w:sz w:val="24"/>
        </w:rPr>
        <w:t>0</w:t>
      </w:r>
      <w:r w:rsidR="00B71CB9">
        <w:rPr>
          <w:rFonts w:ascii="Arial" w:hAnsi="Arial"/>
          <w:sz w:val="24"/>
        </w:rPr>
        <w:t>0</w:t>
      </w:r>
      <w:r w:rsidR="00CD4EDA" w:rsidRPr="00CD4EDA">
        <w:rPr>
          <w:rFonts w:ascii="Arial" w:hAnsi="Arial"/>
          <w:sz w:val="24"/>
        </w:rPr>
        <w:t xml:space="preserve"> p.m. Central Standard Time</w:t>
      </w:r>
      <w:r w:rsidR="00B35BB9">
        <w:rPr>
          <w:rFonts w:ascii="Arial" w:hAnsi="Arial"/>
          <w:sz w:val="24"/>
        </w:rPr>
        <w:t xml:space="preserve"> </w:t>
      </w:r>
      <w:r>
        <w:rPr>
          <w:rFonts w:ascii="Arial" w:hAnsi="Arial"/>
          <w:sz w:val="24"/>
        </w:rPr>
        <w:tab/>
      </w:r>
      <w:r>
        <w:rPr>
          <w:rFonts w:ascii="Arial" w:hAnsi="Arial"/>
          <w:sz w:val="24"/>
        </w:rPr>
        <w:tab/>
      </w:r>
    </w:p>
    <w:p w:rsidR="003A7A99" w:rsidRDefault="003A7A99">
      <w:pPr>
        <w:widowControl w:val="0"/>
        <w:jc w:val="both"/>
        <w:rPr>
          <w:rFonts w:ascii="Arial" w:hAnsi="Arial"/>
          <w:sz w:val="24"/>
        </w:rPr>
      </w:pPr>
    </w:p>
    <w:p w:rsidR="00CD4EDA" w:rsidRPr="00CD4EDA" w:rsidRDefault="003A7A99" w:rsidP="00CD4EDA">
      <w:pPr>
        <w:widowControl w:val="0"/>
        <w:tabs>
          <w:tab w:val="left" w:pos="-1440"/>
        </w:tabs>
        <w:jc w:val="both"/>
        <w:rPr>
          <w:rFonts w:ascii="Arial" w:hAnsi="Arial"/>
          <w:sz w:val="24"/>
        </w:rPr>
      </w:pPr>
      <w:r>
        <w:rPr>
          <w:rFonts w:ascii="Arial" w:hAnsi="Arial"/>
          <w:b/>
          <w:sz w:val="24"/>
        </w:rPr>
        <w:t>Place:</w:t>
      </w:r>
      <w:r>
        <w:rPr>
          <w:rFonts w:ascii="Arial" w:hAnsi="Arial"/>
          <w:b/>
          <w:sz w:val="24"/>
        </w:rPr>
        <w:tab/>
      </w:r>
      <w:r>
        <w:rPr>
          <w:rFonts w:ascii="Arial" w:hAnsi="Arial"/>
          <w:b/>
          <w:sz w:val="24"/>
        </w:rPr>
        <w:tab/>
      </w:r>
      <w:r w:rsidR="00CD4EDA">
        <w:rPr>
          <w:rFonts w:ascii="Arial" w:hAnsi="Arial"/>
          <w:b/>
          <w:sz w:val="24"/>
        </w:rPr>
        <w:tab/>
      </w:r>
      <w:r w:rsidR="00CD4EDA">
        <w:rPr>
          <w:rFonts w:ascii="Arial" w:hAnsi="Arial"/>
          <w:b/>
          <w:sz w:val="24"/>
        </w:rPr>
        <w:tab/>
      </w:r>
      <w:r w:rsidR="00CD4EDA">
        <w:rPr>
          <w:rFonts w:ascii="Arial" w:hAnsi="Arial"/>
          <w:b/>
          <w:sz w:val="24"/>
        </w:rPr>
        <w:tab/>
      </w:r>
      <w:r w:rsidR="00D53D37">
        <w:rPr>
          <w:rFonts w:ascii="Arial" w:hAnsi="Arial"/>
          <w:sz w:val="24"/>
        </w:rPr>
        <w:t xml:space="preserve">Iris </w:t>
      </w:r>
      <w:r w:rsidR="00CD4EDA" w:rsidRPr="00CD4EDA">
        <w:rPr>
          <w:rFonts w:ascii="Arial" w:hAnsi="Arial"/>
          <w:sz w:val="24"/>
        </w:rPr>
        <w:t>Room, First Floor</w:t>
      </w:r>
    </w:p>
    <w:p w:rsidR="00CD4EDA" w:rsidRPr="00CD4EDA" w:rsidRDefault="00CD4EDA" w:rsidP="00CD4EDA">
      <w:pPr>
        <w:widowControl w:val="0"/>
        <w:tabs>
          <w:tab w:val="left" w:pos="-1440"/>
        </w:tabs>
        <w:jc w:val="both"/>
        <w:rPr>
          <w:rFonts w:ascii="Arial" w:hAnsi="Arial"/>
          <w:sz w:val="24"/>
        </w:rPr>
      </w:pP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t>665 Mainstream Drive</w:t>
      </w:r>
    </w:p>
    <w:p w:rsidR="00CD4EDA" w:rsidRPr="00CD4EDA" w:rsidRDefault="00CD4EDA" w:rsidP="00CD4EDA">
      <w:pPr>
        <w:widowControl w:val="0"/>
        <w:tabs>
          <w:tab w:val="left" w:pos="-1440"/>
        </w:tabs>
        <w:jc w:val="both"/>
        <w:rPr>
          <w:rFonts w:ascii="Arial" w:hAnsi="Arial"/>
          <w:sz w:val="24"/>
        </w:rPr>
      </w:pP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t>Nashville, TN 37243</w:t>
      </w:r>
    </w:p>
    <w:p w:rsidR="00362543" w:rsidRDefault="003A7A99" w:rsidP="00B35BB9">
      <w:pPr>
        <w:widowControl w:val="0"/>
        <w:tabs>
          <w:tab w:val="left" w:pos="-1440"/>
        </w:tabs>
        <w:jc w:val="both"/>
        <w:rPr>
          <w:rFonts w:ascii="Arial" w:hAnsi="Arial"/>
          <w:sz w:val="24"/>
        </w:rPr>
      </w:pPr>
      <w:r>
        <w:rPr>
          <w:rFonts w:ascii="Arial" w:hAnsi="Arial"/>
          <w:b/>
          <w:sz w:val="24"/>
        </w:rPr>
        <w:tab/>
      </w:r>
      <w:r>
        <w:rPr>
          <w:rFonts w:ascii="Arial" w:hAnsi="Arial"/>
          <w:b/>
          <w:sz w:val="24"/>
        </w:rPr>
        <w:tab/>
      </w:r>
      <w:r>
        <w:rPr>
          <w:rFonts w:ascii="Arial" w:hAnsi="Arial"/>
          <w:sz w:val="24"/>
        </w:rPr>
        <w:tab/>
      </w:r>
      <w:r w:rsidR="00B35BB9">
        <w:rPr>
          <w:rFonts w:ascii="Arial" w:hAnsi="Arial"/>
          <w:sz w:val="24"/>
        </w:rPr>
        <w:t xml:space="preserve"> </w:t>
      </w: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ind w:left="450"/>
        <w:jc w:val="both"/>
        <w:rPr>
          <w:rFonts w:ascii="Arial" w:hAnsi="Arial"/>
          <w:sz w:val="24"/>
        </w:rPr>
      </w:pPr>
      <w:r>
        <w:rPr>
          <w:rFonts w:ascii="Arial" w:hAnsi="Arial"/>
          <w:sz w:val="24"/>
        </w:rPr>
        <w:tab/>
      </w: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790AF7"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sidR="00790AF7">
        <w:rPr>
          <w:rFonts w:ascii="Arial" w:hAnsi="Arial"/>
          <w:sz w:val="24"/>
        </w:rPr>
        <w:br w:type="page"/>
      </w:r>
    </w:p>
    <w:p w:rsidR="00790AF7" w:rsidRDefault="00790AF7" w:rsidP="00D51263">
      <w:pPr>
        <w:pBdr>
          <w:bottom w:val="single" w:sz="12" w:space="1" w:color="auto"/>
        </w:pBdr>
        <w:tabs>
          <w:tab w:val="left" w:pos="1260"/>
        </w:tabs>
        <w:jc w:val="both"/>
        <w:rPr>
          <w:b/>
          <w:bCs/>
          <w:sz w:val="24"/>
          <w:szCs w:val="24"/>
        </w:rPr>
      </w:pPr>
    </w:p>
    <w:p w:rsidR="00790AF7" w:rsidRDefault="00790AF7" w:rsidP="00D51263">
      <w:pPr>
        <w:pBdr>
          <w:bottom w:val="single" w:sz="12" w:space="1" w:color="auto"/>
        </w:pBdr>
        <w:tabs>
          <w:tab w:val="left" w:pos="1260"/>
        </w:tabs>
        <w:jc w:val="both"/>
        <w:rPr>
          <w:b/>
          <w:bCs/>
          <w:sz w:val="24"/>
          <w:szCs w:val="24"/>
        </w:rPr>
      </w:pPr>
      <w:r>
        <w:rPr>
          <w:rFonts w:ascii="Open Sans" w:hAnsi="Open Sans" w:cs="Open Sans"/>
          <w:b/>
          <w:bCs/>
          <w:caps/>
          <w:noProof/>
          <w:color w:val="000000"/>
          <w:spacing w:val="-2"/>
          <w:sz w:val="16"/>
          <w:szCs w:val="16"/>
        </w:rPr>
        <w:drawing>
          <wp:inline distT="0" distB="0" distL="0" distR="0">
            <wp:extent cx="2533650" cy="1323975"/>
            <wp:effectExtent l="0" t="0" r="0" b="0"/>
            <wp:docPr id="3" name="Picture 3" descr="C:\Users\dc07066\AppData\Local\Microsoft\Windows\Temporary Internet Files\Content.Outlook\LTVR0NOA\TN-Dept-of-Health-ColorPM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07066\AppData\Local\Microsoft\Windows\Temporary Internet Files\Content.Outlook\LTVR0NOA\TN-Dept-of-Health-ColorPMS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323975"/>
                    </a:xfrm>
                    <a:prstGeom prst="rect">
                      <a:avLst/>
                    </a:prstGeom>
                    <a:noFill/>
                    <a:ln>
                      <a:noFill/>
                    </a:ln>
                  </pic:spPr>
                </pic:pic>
              </a:graphicData>
            </a:graphic>
          </wp:inline>
        </w:drawing>
      </w:r>
    </w:p>
    <w:p w:rsidR="00790AF7" w:rsidRPr="00D51263" w:rsidRDefault="00790AF7" w:rsidP="00D51263">
      <w:pPr>
        <w:pBdr>
          <w:bottom w:val="single" w:sz="12" w:space="1" w:color="auto"/>
        </w:pBdr>
        <w:tabs>
          <w:tab w:val="left" w:pos="1260"/>
        </w:tabs>
        <w:jc w:val="both"/>
        <w:rPr>
          <w:sz w:val="24"/>
          <w:szCs w:val="24"/>
        </w:rPr>
      </w:pPr>
    </w:p>
    <w:p w:rsidR="00790AF7" w:rsidRPr="00D51263" w:rsidRDefault="00790AF7" w:rsidP="00D51263">
      <w:pPr>
        <w:tabs>
          <w:tab w:val="left" w:pos="1260"/>
        </w:tabs>
        <w:rPr>
          <w:sz w:val="24"/>
          <w:szCs w:val="24"/>
        </w:rPr>
      </w:pPr>
    </w:p>
    <w:p w:rsidR="00790AF7" w:rsidRPr="00373FA3" w:rsidRDefault="00790AF7"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790AF7" w:rsidRPr="00373FA3" w:rsidRDefault="00790AF7" w:rsidP="00D51263">
      <w:pPr>
        <w:tabs>
          <w:tab w:val="left" w:pos="1260"/>
          <w:tab w:val="left" w:pos="8100"/>
        </w:tabs>
        <w:rPr>
          <w:sz w:val="24"/>
          <w:szCs w:val="24"/>
        </w:rPr>
      </w:pPr>
    </w:p>
    <w:p w:rsidR="00790AF7" w:rsidRPr="00373FA3" w:rsidRDefault="00790AF7" w:rsidP="00D51263">
      <w:pPr>
        <w:tabs>
          <w:tab w:val="left" w:pos="1260"/>
          <w:tab w:val="left" w:pos="8100"/>
        </w:tabs>
        <w:jc w:val="center"/>
        <w:rPr>
          <w:b/>
          <w:b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790AF7" w:rsidRPr="00373FA3" w:rsidRDefault="00790AF7" w:rsidP="00D51263">
      <w:pPr>
        <w:tabs>
          <w:tab w:val="left" w:pos="1260"/>
          <w:tab w:val="left" w:pos="8100"/>
        </w:tabs>
        <w:jc w:val="center"/>
        <w:rPr>
          <w:b/>
          <w:bCs/>
          <w:smallCaps/>
          <w:sz w:val="24"/>
          <w:szCs w:val="24"/>
        </w:rPr>
      </w:pPr>
    </w:p>
    <w:p w:rsidR="00790AF7" w:rsidRDefault="00790AF7" w:rsidP="00E52168">
      <w:pPr>
        <w:rPr>
          <w:b/>
          <w:bCs/>
          <w:sz w:val="24"/>
          <w:szCs w:val="24"/>
        </w:rPr>
      </w:pPr>
      <w:r w:rsidRPr="00373FA3">
        <w:rPr>
          <w:b/>
          <w:bCs/>
          <w:sz w:val="24"/>
          <w:szCs w:val="24"/>
        </w:rPr>
        <w:t>AGENDA</w:t>
      </w:r>
      <w:r>
        <w:rPr>
          <w:b/>
          <w:bCs/>
          <w:sz w:val="24"/>
          <w:szCs w:val="24"/>
        </w:rPr>
        <w:t>:</w:t>
      </w:r>
    </w:p>
    <w:p w:rsidR="00790AF7" w:rsidRDefault="00790AF7" w:rsidP="00E52168">
      <w:pPr>
        <w:rPr>
          <w:b/>
          <w:bCs/>
          <w:sz w:val="24"/>
          <w:szCs w:val="24"/>
        </w:rPr>
      </w:pPr>
    </w:p>
    <w:p w:rsidR="00790AF7" w:rsidRDefault="00790AF7" w:rsidP="00E52168">
      <w:pPr>
        <w:rPr>
          <w:b/>
          <w:bCs/>
          <w:sz w:val="24"/>
          <w:szCs w:val="24"/>
        </w:rPr>
      </w:pPr>
      <w:r>
        <w:rPr>
          <w:b/>
          <w:bCs/>
          <w:sz w:val="24"/>
          <w:szCs w:val="24"/>
        </w:rPr>
        <w:t>1:00 P.M.</w:t>
      </w:r>
    </w:p>
    <w:p w:rsidR="00790AF7" w:rsidRDefault="00790AF7" w:rsidP="00E52168">
      <w:pPr>
        <w:rPr>
          <w:b/>
          <w:bCs/>
          <w:sz w:val="24"/>
          <w:szCs w:val="24"/>
        </w:rPr>
      </w:pPr>
    </w:p>
    <w:p w:rsidR="00790AF7" w:rsidRPr="00E52168" w:rsidRDefault="00790AF7" w:rsidP="00790AF7">
      <w:pPr>
        <w:numPr>
          <w:ilvl w:val="0"/>
          <w:numId w:val="14"/>
        </w:numPr>
        <w:tabs>
          <w:tab w:val="left" w:pos="0"/>
          <w:tab w:val="left" w:pos="720"/>
        </w:tabs>
        <w:rPr>
          <w:b/>
          <w:bCs/>
          <w:sz w:val="24"/>
          <w:szCs w:val="24"/>
        </w:rPr>
      </w:pPr>
      <w:r w:rsidRPr="00E52168">
        <w:rPr>
          <w:b/>
          <w:bCs/>
          <w:sz w:val="24"/>
          <w:szCs w:val="24"/>
        </w:rPr>
        <w:t>Roll Call</w:t>
      </w:r>
    </w:p>
    <w:p w:rsidR="00790AF7" w:rsidRPr="00E52168" w:rsidRDefault="00790AF7" w:rsidP="00E52168">
      <w:pPr>
        <w:tabs>
          <w:tab w:val="left" w:pos="0"/>
          <w:tab w:val="left" w:pos="720"/>
        </w:tabs>
        <w:ind w:left="720"/>
        <w:rPr>
          <w:b/>
          <w:bCs/>
          <w:sz w:val="24"/>
          <w:szCs w:val="24"/>
        </w:rPr>
      </w:pPr>
    </w:p>
    <w:p w:rsidR="00790AF7" w:rsidRPr="00E52168" w:rsidRDefault="00790AF7" w:rsidP="00790AF7">
      <w:pPr>
        <w:numPr>
          <w:ilvl w:val="0"/>
          <w:numId w:val="14"/>
        </w:numPr>
        <w:tabs>
          <w:tab w:val="left" w:pos="0"/>
          <w:tab w:val="left" w:pos="720"/>
        </w:tabs>
        <w:rPr>
          <w:b/>
          <w:bCs/>
          <w:sz w:val="24"/>
          <w:szCs w:val="24"/>
        </w:rPr>
      </w:pPr>
      <w:r w:rsidRPr="00E52168">
        <w:rPr>
          <w:b/>
          <w:bCs/>
          <w:sz w:val="24"/>
          <w:szCs w:val="24"/>
        </w:rPr>
        <w:t>Approval of Minutes</w:t>
      </w:r>
    </w:p>
    <w:p w:rsidR="00790AF7" w:rsidRPr="00E52168" w:rsidRDefault="00790AF7" w:rsidP="00E52168">
      <w:pPr>
        <w:ind w:left="720"/>
        <w:rPr>
          <w:b/>
          <w:bCs/>
          <w:sz w:val="24"/>
          <w:szCs w:val="24"/>
        </w:rPr>
      </w:pPr>
    </w:p>
    <w:p w:rsidR="00790AF7" w:rsidRDefault="00790AF7" w:rsidP="00790AF7">
      <w:pPr>
        <w:numPr>
          <w:ilvl w:val="0"/>
          <w:numId w:val="14"/>
        </w:numPr>
        <w:tabs>
          <w:tab w:val="left" w:pos="0"/>
          <w:tab w:val="left" w:pos="720"/>
        </w:tabs>
        <w:rPr>
          <w:b/>
          <w:bCs/>
          <w:sz w:val="24"/>
          <w:szCs w:val="24"/>
        </w:rPr>
      </w:pPr>
      <w:r w:rsidRPr="00E52168">
        <w:rPr>
          <w:b/>
          <w:bCs/>
          <w:sz w:val="24"/>
          <w:szCs w:val="24"/>
        </w:rPr>
        <w:t>NREMT reports</w:t>
      </w:r>
    </w:p>
    <w:p w:rsidR="00790AF7" w:rsidRDefault="00790AF7" w:rsidP="00421565">
      <w:pPr>
        <w:tabs>
          <w:tab w:val="left" w:pos="0"/>
          <w:tab w:val="left" w:pos="720"/>
        </w:tabs>
        <w:ind w:left="360"/>
        <w:rPr>
          <w:b/>
          <w:bCs/>
          <w:sz w:val="24"/>
          <w:szCs w:val="24"/>
        </w:rPr>
      </w:pPr>
    </w:p>
    <w:p w:rsidR="00790AF7" w:rsidRDefault="00790AF7" w:rsidP="00790AF7">
      <w:pPr>
        <w:numPr>
          <w:ilvl w:val="0"/>
          <w:numId w:val="14"/>
        </w:numPr>
        <w:tabs>
          <w:tab w:val="left" w:pos="0"/>
          <w:tab w:val="left" w:pos="720"/>
        </w:tabs>
        <w:rPr>
          <w:b/>
          <w:bCs/>
          <w:sz w:val="24"/>
          <w:szCs w:val="24"/>
        </w:rPr>
      </w:pPr>
      <w:r>
        <w:rPr>
          <w:b/>
          <w:bCs/>
          <w:sz w:val="24"/>
          <w:szCs w:val="24"/>
        </w:rPr>
        <w:t>Sub Committee Report</w:t>
      </w:r>
    </w:p>
    <w:p w:rsidR="00790AF7" w:rsidRPr="00E52168" w:rsidRDefault="00790AF7" w:rsidP="006A719C">
      <w:pPr>
        <w:tabs>
          <w:tab w:val="left" w:pos="0"/>
          <w:tab w:val="left" w:pos="720"/>
        </w:tabs>
        <w:ind w:left="360"/>
        <w:rPr>
          <w:b/>
          <w:bCs/>
          <w:sz w:val="24"/>
          <w:szCs w:val="24"/>
        </w:rPr>
      </w:pPr>
    </w:p>
    <w:p w:rsidR="00790AF7" w:rsidRPr="00E52168" w:rsidRDefault="00790AF7" w:rsidP="00790AF7">
      <w:pPr>
        <w:numPr>
          <w:ilvl w:val="0"/>
          <w:numId w:val="14"/>
        </w:numPr>
        <w:tabs>
          <w:tab w:val="left" w:pos="0"/>
          <w:tab w:val="left" w:pos="720"/>
        </w:tabs>
        <w:rPr>
          <w:b/>
          <w:bCs/>
          <w:sz w:val="24"/>
          <w:szCs w:val="24"/>
        </w:rPr>
      </w:pPr>
      <w:r w:rsidRPr="00E52168">
        <w:rPr>
          <w:b/>
          <w:bCs/>
          <w:sz w:val="24"/>
          <w:szCs w:val="24"/>
        </w:rPr>
        <w:t>Old Business</w:t>
      </w:r>
    </w:p>
    <w:p w:rsidR="00790AF7" w:rsidRPr="00E52168" w:rsidRDefault="00790AF7" w:rsidP="00E52168">
      <w:pPr>
        <w:tabs>
          <w:tab w:val="left" w:pos="0"/>
          <w:tab w:val="left" w:pos="720"/>
        </w:tabs>
        <w:rPr>
          <w:b/>
          <w:bCs/>
          <w:sz w:val="24"/>
          <w:szCs w:val="24"/>
        </w:rPr>
      </w:pPr>
    </w:p>
    <w:p w:rsidR="00790AF7" w:rsidRPr="00105F80" w:rsidRDefault="00790AF7" w:rsidP="00790AF7">
      <w:pPr>
        <w:numPr>
          <w:ilvl w:val="0"/>
          <w:numId w:val="14"/>
        </w:numPr>
        <w:tabs>
          <w:tab w:val="left" w:pos="0"/>
          <w:tab w:val="left" w:pos="720"/>
        </w:tabs>
        <w:rPr>
          <w:b/>
          <w:bCs/>
          <w:sz w:val="24"/>
          <w:szCs w:val="24"/>
        </w:rPr>
      </w:pPr>
      <w:r w:rsidRPr="00105F80">
        <w:rPr>
          <w:b/>
          <w:bCs/>
          <w:sz w:val="24"/>
          <w:szCs w:val="24"/>
        </w:rPr>
        <w:t>New Business</w:t>
      </w:r>
    </w:p>
    <w:p w:rsidR="00790AF7" w:rsidRPr="00E52168" w:rsidRDefault="00790AF7" w:rsidP="00E52168">
      <w:pPr>
        <w:tabs>
          <w:tab w:val="left" w:pos="0"/>
          <w:tab w:val="left" w:pos="720"/>
        </w:tabs>
        <w:rPr>
          <w:b/>
          <w:bCs/>
          <w:sz w:val="24"/>
          <w:szCs w:val="24"/>
        </w:rPr>
      </w:pPr>
    </w:p>
    <w:p w:rsidR="00790AF7" w:rsidRPr="00373FA3" w:rsidRDefault="00790AF7" w:rsidP="00D51263">
      <w:pPr>
        <w:jc w:val="center"/>
        <w:rPr>
          <w:b/>
          <w:bCs/>
          <w:sz w:val="24"/>
          <w:szCs w:val="24"/>
        </w:rPr>
      </w:pPr>
    </w:p>
    <w:p w:rsidR="00790AF7" w:rsidRPr="00E52168" w:rsidRDefault="00790AF7" w:rsidP="00E52168">
      <w:pPr>
        <w:jc w:val="center"/>
        <w:rPr>
          <w:b/>
          <w:bCs/>
          <w:sz w:val="24"/>
          <w:szCs w:val="24"/>
        </w:rPr>
      </w:pPr>
      <w:r w:rsidRPr="00E52168">
        <w:rPr>
          <w:b/>
          <w:bCs/>
          <w:sz w:val="24"/>
          <w:szCs w:val="24"/>
        </w:rPr>
        <w:t>Emergency Medical Services</w:t>
      </w:r>
    </w:p>
    <w:p w:rsidR="00790AF7" w:rsidRPr="00E52168" w:rsidRDefault="00790AF7" w:rsidP="00E52168">
      <w:pPr>
        <w:jc w:val="center"/>
        <w:rPr>
          <w:b/>
          <w:bCs/>
          <w:sz w:val="24"/>
          <w:szCs w:val="24"/>
        </w:rPr>
      </w:pPr>
      <w:r w:rsidRPr="00E52168">
        <w:rPr>
          <w:b/>
          <w:bCs/>
          <w:sz w:val="24"/>
          <w:szCs w:val="24"/>
        </w:rPr>
        <w:t>Education Committee</w:t>
      </w:r>
    </w:p>
    <w:p w:rsidR="00790AF7" w:rsidRPr="00373FA3" w:rsidRDefault="00790AF7" w:rsidP="00D51263">
      <w:pPr>
        <w:jc w:val="center"/>
        <w:rPr>
          <w:b/>
          <w:bCs/>
          <w:sz w:val="24"/>
          <w:szCs w:val="24"/>
        </w:rPr>
      </w:pPr>
      <w:r>
        <w:rPr>
          <w:b/>
          <w:bCs/>
          <w:sz w:val="24"/>
          <w:szCs w:val="24"/>
        </w:rPr>
        <w:t>September 27</w:t>
      </w:r>
      <w:r w:rsidRPr="003923AC">
        <w:rPr>
          <w:b/>
          <w:bCs/>
          <w:sz w:val="24"/>
          <w:szCs w:val="24"/>
          <w:vertAlign w:val="superscript"/>
        </w:rPr>
        <w:t>th</w:t>
      </w:r>
      <w:r>
        <w:rPr>
          <w:b/>
          <w:bCs/>
          <w:sz w:val="24"/>
          <w:szCs w:val="24"/>
        </w:rPr>
        <w:t>, 2016</w:t>
      </w:r>
    </w:p>
    <w:p w:rsidR="00790AF7" w:rsidRPr="00373FA3" w:rsidRDefault="00790AF7" w:rsidP="00D51263">
      <w:pPr>
        <w:jc w:val="center"/>
        <w:rPr>
          <w:b/>
          <w:bCs/>
          <w:sz w:val="18"/>
          <w:szCs w:val="18"/>
        </w:rPr>
      </w:pPr>
      <w:r w:rsidRPr="00373FA3">
        <w:rPr>
          <w:b/>
          <w:bCs/>
          <w:sz w:val="18"/>
          <w:szCs w:val="18"/>
        </w:rPr>
        <w:t xml:space="preserve">PLEASE REMEMBER TO SILENCE YOUR ELECTRONIC DEVICES WHEN </w:t>
      </w:r>
    </w:p>
    <w:p w:rsidR="00790AF7" w:rsidRPr="00373FA3" w:rsidRDefault="00790AF7" w:rsidP="00D51263">
      <w:pPr>
        <w:jc w:val="center"/>
        <w:rPr>
          <w:b/>
          <w:bCs/>
          <w:sz w:val="24"/>
          <w:szCs w:val="24"/>
        </w:rPr>
      </w:pPr>
      <w:r w:rsidRPr="00373FA3">
        <w:rPr>
          <w:b/>
          <w:bCs/>
          <w:sz w:val="18"/>
          <w:szCs w:val="18"/>
        </w:rPr>
        <w:t>THE BOARD IS IN SESSION</w:t>
      </w:r>
    </w:p>
    <w:p w:rsidR="00790AF7" w:rsidRDefault="00790AF7" w:rsidP="00373FA3">
      <w:pPr>
        <w:pBdr>
          <w:bottom w:val="single" w:sz="12" w:space="1" w:color="auto"/>
        </w:pBdr>
        <w:rPr>
          <w:b/>
          <w:bCs/>
          <w:sz w:val="24"/>
          <w:szCs w:val="24"/>
        </w:rPr>
      </w:pPr>
    </w:p>
    <w:p w:rsidR="00790AF7" w:rsidRDefault="00790AF7" w:rsidP="00373FA3">
      <w:pPr>
        <w:rPr>
          <w:b/>
          <w:bCs/>
          <w:sz w:val="24"/>
          <w:szCs w:val="24"/>
        </w:rPr>
      </w:pPr>
    </w:p>
    <w:p w:rsidR="00790AF7" w:rsidRDefault="00790AF7" w:rsidP="00373FA3">
      <w:pPr>
        <w:rPr>
          <w:b/>
          <w:bCs/>
          <w:sz w:val="24"/>
          <w:szCs w:val="24"/>
        </w:rPr>
      </w:pPr>
    </w:p>
    <w:p w:rsidR="003A7A99" w:rsidRDefault="003A7A99">
      <w:pPr>
        <w:widowControl w:val="0"/>
        <w:tabs>
          <w:tab w:val="decimal" w:pos="720"/>
        </w:tabs>
        <w:jc w:val="both"/>
        <w:rPr>
          <w:sz w:val="24"/>
        </w:rPr>
      </w:pPr>
      <w:bookmarkStart w:id="0" w:name="_GoBack"/>
      <w:bookmarkEnd w:id="0"/>
      <w:r>
        <w:rPr>
          <w:rFonts w:ascii="Arial" w:hAnsi="Arial"/>
          <w:sz w:val="24"/>
        </w:rPr>
        <w:tab/>
        <w:t xml:space="preserve"> </w:t>
      </w:r>
    </w:p>
    <w:sectPr w:rsidR="003A7A99">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4">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5">
    <w:nsid w:val="2D4573FC"/>
    <w:multiLevelType w:val="hybridMultilevel"/>
    <w:tmpl w:val="F7D68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8">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10">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4"/>
  </w:num>
  <w:num w:numId="4">
    <w:abstractNumId w:val="13"/>
  </w:num>
  <w:num w:numId="5">
    <w:abstractNumId w:val="3"/>
  </w:num>
  <w:num w:numId="6">
    <w:abstractNumId w:val="12"/>
  </w:num>
  <w:num w:numId="7">
    <w:abstractNumId w:val="9"/>
  </w:num>
  <w:num w:numId="8">
    <w:abstractNumId w:val="2"/>
  </w:num>
  <w:num w:numId="9">
    <w:abstractNumId w:val="7"/>
  </w:num>
  <w:num w:numId="10">
    <w:abstractNumId w:val="0"/>
  </w:num>
  <w:num w:numId="11">
    <w:abstractNumId w:val="6"/>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641D3"/>
    <w:rsid w:val="000942B5"/>
    <w:rsid w:val="000A524C"/>
    <w:rsid w:val="000B0C63"/>
    <w:rsid w:val="0012001C"/>
    <w:rsid w:val="00190D9C"/>
    <w:rsid w:val="001A63FE"/>
    <w:rsid w:val="002026EC"/>
    <w:rsid w:val="002A01C5"/>
    <w:rsid w:val="002A11D6"/>
    <w:rsid w:val="002A3C09"/>
    <w:rsid w:val="003013B1"/>
    <w:rsid w:val="00306899"/>
    <w:rsid w:val="00353937"/>
    <w:rsid w:val="00362543"/>
    <w:rsid w:val="00370240"/>
    <w:rsid w:val="0039788E"/>
    <w:rsid w:val="003A7A99"/>
    <w:rsid w:val="003C2EFE"/>
    <w:rsid w:val="003D5953"/>
    <w:rsid w:val="00405C97"/>
    <w:rsid w:val="00410472"/>
    <w:rsid w:val="00440D4C"/>
    <w:rsid w:val="00455F76"/>
    <w:rsid w:val="0047421C"/>
    <w:rsid w:val="004D70E1"/>
    <w:rsid w:val="005067E9"/>
    <w:rsid w:val="0066091B"/>
    <w:rsid w:val="00673B65"/>
    <w:rsid w:val="006817D7"/>
    <w:rsid w:val="006E0BB7"/>
    <w:rsid w:val="006E4A10"/>
    <w:rsid w:val="006F13D0"/>
    <w:rsid w:val="006F739E"/>
    <w:rsid w:val="00734325"/>
    <w:rsid w:val="00734941"/>
    <w:rsid w:val="00765924"/>
    <w:rsid w:val="00790AF7"/>
    <w:rsid w:val="00791F6C"/>
    <w:rsid w:val="00793022"/>
    <w:rsid w:val="007C1524"/>
    <w:rsid w:val="00840809"/>
    <w:rsid w:val="008601D3"/>
    <w:rsid w:val="008A6905"/>
    <w:rsid w:val="008D5951"/>
    <w:rsid w:val="00900656"/>
    <w:rsid w:val="009164D4"/>
    <w:rsid w:val="00992807"/>
    <w:rsid w:val="009F791E"/>
    <w:rsid w:val="00A361A9"/>
    <w:rsid w:val="00A42B42"/>
    <w:rsid w:val="00AD5DA8"/>
    <w:rsid w:val="00B251BC"/>
    <w:rsid w:val="00B2609D"/>
    <w:rsid w:val="00B35BB9"/>
    <w:rsid w:val="00B71CB9"/>
    <w:rsid w:val="00BB4412"/>
    <w:rsid w:val="00BF3FE7"/>
    <w:rsid w:val="00C12C75"/>
    <w:rsid w:val="00C17D61"/>
    <w:rsid w:val="00C20199"/>
    <w:rsid w:val="00C82B59"/>
    <w:rsid w:val="00CA657B"/>
    <w:rsid w:val="00CD091E"/>
    <w:rsid w:val="00CD4EDA"/>
    <w:rsid w:val="00D31244"/>
    <w:rsid w:val="00D41325"/>
    <w:rsid w:val="00D455E4"/>
    <w:rsid w:val="00D53D37"/>
    <w:rsid w:val="00D55C66"/>
    <w:rsid w:val="00D87DE2"/>
    <w:rsid w:val="00D948BE"/>
    <w:rsid w:val="00DA7883"/>
    <w:rsid w:val="00DE35F3"/>
    <w:rsid w:val="00E544C9"/>
    <w:rsid w:val="00E71BBA"/>
    <w:rsid w:val="00EA5270"/>
    <w:rsid w:val="00ED7865"/>
    <w:rsid w:val="00F267BE"/>
    <w:rsid w:val="00F3163C"/>
    <w:rsid w:val="00F673F3"/>
    <w:rsid w:val="00F74AF0"/>
    <w:rsid w:val="00FB50B7"/>
    <w:rsid w:val="00FC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3</cp:revision>
  <cp:lastPrinted>2014-02-07T20:40:00Z</cp:lastPrinted>
  <dcterms:created xsi:type="dcterms:W3CDTF">2016-09-07T13:05:00Z</dcterms:created>
  <dcterms:modified xsi:type="dcterms:W3CDTF">2016-09-07T13:06:00Z</dcterms:modified>
</cp:coreProperties>
</file>