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DE3BC" w14:textId="2DFF8162" w:rsidR="007C0C8B" w:rsidRPr="007718A1" w:rsidRDefault="007718A1" w:rsidP="007718A1">
      <w:pPr>
        <w:spacing w:before="80" w:line="328" w:lineRule="auto"/>
        <w:ind w:right="1909"/>
        <w:rPr>
          <w:b/>
          <w:bCs/>
          <w:sz w:val="28"/>
        </w:rPr>
      </w:pPr>
      <w:r>
        <w:rPr>
          <w:sz w:val="28"/>
        </w:rPr>
        <w:t xml:space="preserve">         </w:t>
      </w:r>
      <w:proofErr w:type="spellStart"/>
      <w:r w:rsidRPr="007718A1">
        <w:rPr>
          <w:b/>
          <w:bCs/>
          <w:sz w:val="28"/>
        </w:rPr>
        <w:t>IdentoG</w:t>
      </w:r>
      <w:r>
        <w:rPr>
          <w:b/>
          <w:bCs/>
          <w:sz w:val="28"/>
        </w:rPr>
        <w:t>O</w:t>
      </w:r>
      <w:proofErr w:type="spellEnd"/>
      <w:r w:rsidR="00E67181" w:rsidRPr="007718A1">
        <w:rPr>
          <w:b/>
          <w:bCs/>
          <w:sz w:val="28"/>
        </w:rPr>
        <w:t xml:space="preserve"> Background Check Terms</w:t>
      </w:r>
      <w:r w:rsidRPr="007718A1">
        <w:rPr>
          <w:b/>
          <w:bCs/>
          <w:sz w:val="28"/>
        </w:rPr>
        <w:t xml:space="preserve"> &amp;</w:t>
      </w:r>
      <w:r w:rsidR="00E67181" w:rsidRPr="007718A1">
        <w:rPr>
          <w:b/>
          <w:bCs/>
          <w:sz w:val="28"/>
        </w:rPr>
        <w:t>Procedures</w:t>
      </w:r>
    </w:p>
    <w:p w14:paraId="29C661A4" w14:textId="77777777" w:rsidR="007C0C8B" w:rsidRDefault="00E67181">
      <w:pPr>
        <w:pStyle w:val="Heading1"/>
        <w:spacing w:before="119"/>
        <w:rPr>
          <w:u w:val="none"/>
        </w:rPr>
      </w:pPr>
      <w:r>
        <w:t>TERMS</w:t>
      </w:r>
    </w:p>
    <w:p w14:paraId="3A9C88DA" w14:textId="77777777" w:rsidR="007C0C8B" w:rsidRDefault="00E67181">
      <w:pPr>
        <w:pStyle w:val="BodyText"/>
        <w:spacing w:before="122"/>
        <w:ind w:left="112"/>
      </w:pPr>
      <w:r>
        <w:rPr>
          <w:b/>
        </w:rPr>
        <w:t xml:space="preserve">Applicant - </w:t>
      </w:r>
      <w:r>
        <w:t>The individual who is required to submit to a fingerprint based background check.</w:t>
      </w:r>
    </w:p>
    <w:p w14:paraId="223AD67C" w14:textId="77777777" w:rsidR="007C0C8B" w:rsidRDefault="00E67181">
      <w:pPr>
        <w:pStyle w:val="BodyText"/>
        <w:spacing w:before="120" w:line="244" w:lineRule="auto"/>
        <w:ind w:left="112"/>
      </w:pPr>
      <w:r>
        <w:rPr>
          <w:b/>
        </w:rPr>
        <w:t xml:space="preserve">Agency - </w:t>
      </w:r>
      <w:r>
        <w:t>The entity that is responsible for licensing Applicants. Agencies must be registered with the Tennessee Bureau of Investigation (TBI) and have a valid ORI number.</w:t>
      </w:r>
    </w:p>
    <w:p w14:paraId="46430ADE" w14:textId="6B0E63A3" w:rsidR="007C0C8B" w:rsidRDefault="00E67181">
      <w:pPr>
        <w:pStyle w:val="BodyText"/>
        <w:spacing w:before="110"/>
        <w:ind w:left="112" w:right="192"/>
      </w:pPr>
      <w:r>
        <w:rPr>
          <w:b/>
        </w:rPr>
        <w:t xml:space="preserve">Registration - </w:t>
      </w:r>
      <w:r>
        <w:t xml:space="preserve">Applicants or Agencies may schedule an appointment for fingerprinting by registering at </w:t>
      </w:r>
      <w:hyperlink r:id="rId5" w:history="1">
        <w:bookmarkStart w:id="0" w:name="_Hlk56779595"/>
        <w:r w:rsidR="007718A1" w:rsidRPr="00502541">
          <w:rPr>
            <w:rStyle w:val="Hyperlink"/>
          </w:rPr>
          <w:t>www.identogo.com</w:t>
        </w:r>
        <w:bookmarkEnd w:id="0"/>
        <w:r w:rsidR="007718A1" w:rsidRPr="00502541">
          <w:rPr>
            <w:rStyle w:val="Hyperlink"/>
          </w:rPr>
          <w:t>.</w:t>
        </w:r>
      </w:hyperlink>
      <w:r w:rsidR="007718A1">
        <w:t xml:space="preserve"> </w:t>
      </w:r>
      <w:r>
        <w:t xml:space="preserve">You can also schedule an appointment by registering by phone at </w:t>
      </w:r>
      <w:r>
        <w:rPr>
          <w:b/>
        </w:rPr>
        <w:t>1-855-226-2937</w:t>
      </w:r>
      <w:r>
        <w:t>. Make sure that your Social Security number is collected correctly. Prior to registration you must have a valid ORI Number.</w:t>
      </w:r>
    </w:p>
    <w:p w14:paraId="1504CCDB" w14:textId="77777777" w:rsidR="007C0C8B" w:rsidRDefault="007C0C8B">
      <w:pPr>
        <w:pStyle w:val="BodyText"/>
        <w:spacing w:before="1"/>
        <w:rPr>
          <w:sz w:val="25"/>
        </w:rPr>
      </w:pPr>
    </w:p>
    <w:p w14:paraId="743397BE" w14:textId="09FDBF74" w:rsidR="007C0C8B" w:rsidRDefault="00E67181">
      <w:pPr>
        <w:pStyle w:val="BodyText"/>
        <w:ind w:left="112" w:right="109"/>
        <w:rPr>
          <w:b/>
        </w:rPr>
      </w:pPr>
      <w:r>
        <w:rPr>
          <w:b/>
        </w:rPr>
        <w:t xml:space="preserve">Payment - </w:t>
      </w:r>
      <w:r>
        <w:t xml:space="preserve">If the Agency allows, your fingerprinting may be paid for already. In this case, no payment is necessary. Otherwise, Applicants must pre-pay their fingerprint services during the registration process. </w:t>
      </w:r>
      <w:r>
        <w:rPr>
          <w:u w:val="single"/>
        </w:rPr>
        <w:t xml:space="preserve">Acceptable forms of payment: </w:t>
      </w:r>
      <w:r>
        <w:t xml:space="preserve">Credit/debit cards, </w:t>
      </w:r>
      <w:proofErr w:type="spellStart"/>
      <w:r>
        <w:t>cashiers</w:t>
      </w:r>
      <w:proofErr w:type="spellEnd"/>
      <w:r>
        <w:t xml:space="preserve"> checks, and money orders. Checks and money orders should be made out to “</w:t>
      </w:r>
      <w:proofErr w:type="spellStart"/>
      <w:r w:rsidR="007718A1">
        <w:t>Ident</w:t>
      </w:r>
      <w:r>
        <w:t>o</w:t>
      </w:r>
      <w:r w:rsidR="007718A1">
        <w:t>GO</w:t>
      </w:r>
      <w:proofErr w:type="spellEnd"/>
      <w:r>
        <w:t xml:space="preserve">”. </w:t>
      </w:r>
      <w:r>
        <w:rPr>
          <w:b/>
        </w:rPr>
        <w:t>Cash is NOT accepted.</w:t>
      </w:r>
    </w:p>
    <w:p w14:paraId="7A5137F9" w14:textId="77777777" w:rsidR="007C0C8B" w:rsidRDefault="007C0C8B">
      <w:pPr>
        <w:pStyle w:val="BodyText"/>
        <w:spacing w:before="10"/>
        <w:rPr>
          <w:b/>
          <w:sz w:val="24"/>
        </w:rPr>
      </w:pPr>
    </w:p>
    <w:p w14:paraId="18DD57A7" w14:textId="66A689D9" w:rsidR="007C0C8B" w:rsidRDefault="00E67181">
      <w:pPr>
        <w:pStyle w:val="BodyText"/>
        <w:ind w:left="112" w:right="192"/>
      </w:pPr>
      <w:r>
        <w:rPr>
          <w:b/>
        </w:rPr>
        <w:t xml:space="preserve">ORI Number - </w:t>
      </w:r>
      <w:r>
        <w:t xml:space="preserve">The Originating Agency Identifier (ORI) is a nine-character identifier assigned by the State and designates each Agency that is allowed to submit data to TBI. You must know your ORI Number before attempting to register online or by phone. Contact your originating Agency, NOT TBI or </w:t>
      </w:r>
      <w:proofErr w:type="spellStart"/>
      <w:r w:rsidR="007718A1">
        <w:t>Ident</w:t>
      </w:r>
      <w:r>
        <w:t>o</w:t>
      </w:r>
      <w:r w:rsidR="007718A1">
        <w:t>GO</w:t>
      </w:r>
      <w:proofErr w:type="spellEnd"/>
      <w:r>
        <w:t xml:space="preserve"> for your ORI Number.</w:t>
      </w:r>
    </w:p>
    <w:p w14:paraId="7E784F72" w14:textId="77777777" w:rsidR="007C0C8B" w:rsidRDefault="007C0C8B">
      <w:pPr>
        <w:pStyle w:val="BodyText"/>
        <w:spacing w:before="10"/>
        <w:rPr>
          <w:sz w:val="24"/>
        </w:rPr>
      </w:pPr>
    </w:p>
    <w:p w14:paraId="688CC7F1" w14:textId="77777777" w:rsidR="007C0C8B" w:rsidRDefault="00E67181">
      <w:pPr>
        <w:pStyle w:val="Heading1"/>
        <w:rPr>
          <w:u w:val="none"/>
        </w:rPr>
      </w:pPr>
      <w:r>
        <w:t>CONTACT INFORMATION</w:t>
      </w:r>
    </w:p>
    <w:p w14:paraId="7BDF4861" w14:textId="77777777" w:rsidR="007C0C8B" w:rsidRDefault="007C0C8B">
      <w:pPr>
        <w:pStyle w:val="BodyText"/>
        <w:spacing w:before="9"/>
        <w:rPr>
          <w:b/>
          <w:sz w:val="16"/>
        </w:rPr>
      </w:pPr>
    </w:p>
    <w:p w14:paraId="5EC098CA" w14:textId="3300647B" w:rsidR="007C0C8B" w:rsidRDefault="00E67181" w:rsidP="007718A1">
      <w:pPr>
        <w:spacing w:before="94"/>
        <w:ind w:left="112"/>
      </w:pPr>
      <w:r>
        <w:rPr>
          <w:b/>
          <w:sz w:val="18"/>
        </w:rPr>
        <w:t xml:space="preserve">Website - </w:t>
      </w:r>
      <w:bookmarkStart w:id="1" w:name="_Hlk56779949"/>
      <w:r w:rsidR="007718A1">
        <w:fldChar w:fldCharType="begin"/>
      </w:r>
      <w:r w:rsidR="007718A1">
        <w:instrText xml:space="preserve"> HYPERLINK "http://</w:instrText>
      </w:r>
      <w:r w:rsidR="007718A1" w:rsidRPr="007718A1">
        <w:instrText>www.identogo.com</w:instrText>
      </w:r>
      <w:r w:rsidR="007718A1">
        <w:instrText xml:space="preserve">" </w:instrText>
      </w:r>
      <w:r w:rsidR="007718A1">
        <w:fldChar w:fldCharType="separate"/>
      </w:r>
      <w:r w:rsidR="007718A1" w:rsidRPr="00502541">
        <w:rPr>
          <w:rStyle w:val="Hyperlink"/>
        </w:rPr>
        <w:t>www.identogo.com</w:t>
      </w:r>
      <w:r w:rsidR="007718A1">
        <w:fldChar w:fldCharType="end"/>
      </w:r>
      <w:bookmarkEnd w:id="1"/>
    </w:p>
    <w:p w14:paraId="2C9D7EF3" w14:textId="77777777" w:rsidR="007718A1" w:rsidRPr="007718A1" w:rsidRDefault="007718A1" w:rsidP="007718A1">
      <w:pPr>
        <w:spacing w:before="94"/>
        <w:ind w:left="112"/>
        <w:rPr>
          <w:b/>
          <w:bCs/>
          <w:sz w:val="16"/>
        </w:rPr>
      </w:pPr>
    </w:p>
    <w:p w14:paraId="629FDFA3" w14:textId="14F99306" w:rsidR="007C0C8B" w:rsidRDefault="007718A1">
      <w:pPr>
        <w:pStyle w:val="BodyText"/>
        <w:rPr>
          <w:sz w:val="20"/>
        </w:rPr>
      </w:pPr>
      <w:r w:rsidRPr="007718A1">
        <w:rPr>
          <w:b/>
          <w:bCs/>
          <w:sz w:val="20"/>
        </w:rPr>
        <w:t xml:space="preserve">  Customer Feedback:</w:t>
      </w:r>
      <w:r w:rsidRPr="007718A1">
        <w:rPr>
          <w:sz w:val="20"/>
        </w:rPr>
        <w:t xml:space="preserve"> (844) 539-5541</w:t>
      </w:r>
    </w:p>
    <w:p w14:paraId="2A536481" w14:textId="77777777" w:rsidR="007C0C8B" w:rsidRDefault="007C0C8B">
      <w:pPr>
        <w:pStyle w:val="BodyText"/>
        <w:spacing w:before="11"/>
      </w:pPr>
    </w:p>
    <w:p w14:paraId="5C437F1B" w14:textId="77777777" w:rsidR="007C0C8B" w:rsidRDefault="00E67181">
      <w:pPr>
        <w:pStyle w:val="Heading1"/>
        <w:rPr>
          <w:u w:val="none"/>
        </w:rPr>
      </w:pPr>
      <w:r>
        <w:t>PROCEDURES</w:t>
      </w:r>
    </w:p>
    <w:p w14:paraId="24700B46" w14:textId="497197A9" w:rsidR="007C0C8B" w:rsidRDefault="00E67181">
      <w:pPr>
        <w:pStyle w:val="ListParagraph"/>
        <w:numPr>
          <w:ilvl w:val="0"/>
          <w:numId w:val="1"/>
        </w:numPr>
        <w:tabs>
          <w:tab w:val="left" w:pos="679"/>
        </w:tabs>
        <w:spacing w:before="119" w:line="242" w:lineRule="auto"/>
        <w:ind w:right="124" w:hanging="273"/>
        <w:rPr>
          <w:sz w:val="18"/>
        </w:rPr>
      </w:pPr>
      <w:r>
        <w:rPr>
          <w:sz w:val="18"/>
        </w:rPr>
        <w:t xml:space="preserve">Contact your </w:t>
      </w:r>
      <w:r>
        <w:rPr>
          <w:b/>
          <w:sz w:val="18"/>
        </w:rPr>
        <w:t xml:space="preserve">Agency </w:t>
      </w:r>
      <w:r>
        <w:rPr>
          <w:sz w:val="18"/>
        </w:rPr>
        <w:t xml:space="preserve">to receive your </w:t>
      </w:r>
      <w:r>
        <w:rPr>
          <w:b/>
          <w:sz w:val="18"/>
        </w:rPr>
        <w:t xml:space="preserve">ORI Number. </w:t>
      </w:r>
      <w:r>
        <w:rPr>
          <w:sz w:val="18"/>
        </w:rPr>
        <w:t xml:space="preserve">Handgun carry permits and HAZMAT license </w:t>
      </w:r>
      <w:r>
        <w:rPr>
          <w:b/>
          <w:sz w:val="18"/>
        </w:rPr>
        <w:t xml:space="preserve">Applicants </w:t>
      </w:r>
      <w:r>
        <w:rPr>
          <w:sz w:val="18"/>
        </w:rPr>
        <w:t xml:space="preserve">must contact a license bureau to be issued the appropriate </w:t>
      </w:r>
      <w:r>
        <w:rPr>
          <w:b/>
          <w:sz w:val="18"/>
        </w:rPr>
        <w:t>ORI Number</w:t>
      </w:r>
      <w:r>
        <w:rPr>
          <w:sz w:val="18"/>
        </w:rPr>
        <w:t xml:space="preserve">. Questions regarding issuance of </w:t>
      </w:r>
      <w:r>
        <w:rPr>
          <w:b/>
          <w:sz w:val="18"/>
        </w:rPr>
        <w:t xml:space="preserve">ORI numbers </w:t>
      </w:r>
      <w:r>
        <w:rPr>
          <w:sz w:val="18"/>
        </w:rPr>
        <w:t xml:space="preserve">must be directed to the appropriate </w:t>
      </w:r>
      <w:r>
        <w:rPr>
          <w:b/>
          <w:sz w:val="18"/>
        </w:rPr>
        <w:t>Agency</w:t>
      </w:r>
      <w:r>
        <w:rPr>
          <w:sz w:val="18"/>
        </w:rPr>
        <w:t xml:space="preserve">, not TBI or </w:t>
      </w:r>
      <w:proofErr w:type="spellStart"/>
      <w:r w:rsidR="007718A1">
        <w:rPr>
          <w:sz w:val="18"/>
        </w:rPr>
        <w:t>IdentoGO</w:t>
      </w:r>
      <w:proofErr w:type="spellEnd"/>
      <w:r>
        <w:rPr>
          <w:sz w:val="18"/>
        </w:rPr>
        <w:t>. Handgun carry permits pay the license bureau in advance for their</w:t>
      </w:r>
      <w:r>
        <w:rPr>
          <w:spacing w:val="-13"/>
          <w:sz w:val="18"/>
        </w:rPr>
        <w:t xml:space="preserve"> </w:t>
      </w:r>
      <w:r>
        <w:rPr>
          <w:sz w:val="18"/>
        </w:rPr>
        <w:t>fingerprinting.</w:t>
      </w:r>
    </w:p>
    <w:p w14:paraId="796D3572" w14:textId="47E43783" w:rsidR="007C0C8B" w:rsidRDefault="00E67181">
      <w:pPr>
        <w:pStyle w:val="ListParagraph"/>
        <w:numPr>
          <w:ilvl w:val="0"/>
          <w:numId w:val="1"/>
        </w:numPr>
        <w:tabs>
          <w:tab w:val="left" w:pos="679"/>
        </w:tabs>
        <w:spacing w:before="79"/>
        <w:ind w:left="678" w:hanging="292"/>
        <w:rPr>
          <w:sz w:val="18"/>
        </w:rPr>
      </w:pPr>
      <w:r>
        <w:rPr>
          <w:sz w:val="18"/>
        </w:rPr>
        <w:t>Schedule an appointment by registering online at</w:t>
      </w:r>
      <w:r>
        <w:rPr>
          <w:color w:val="0000FF"/>
          <w:sz w:val="18"/>
        </w:rPr>
        <w:t xml:space="preserve"> </w:t>
      </w:r>
      <w:hyperlink r:id="rId6">
        <w:r w:rsidR="007718A1" w:rsidRPr="007718A1">
          <w:rPr>
            <w:color w:val="0000FF"/>
            <w:sz w:val="18"/>
            <w:u w:val="single" w:color="0000FF"/>
          </w:rPr>
          <w:t>www.identogo.com</w:t>
        </w:r>
        <w:r>
          <w:rPr>
            <w:color w:val="0000FF"/>
            <w:sz w:val="18"/>
          </w:rPr>
          <w:t xml:space="preserve"> </w:t>
        </w:r>
      </w:hyperlink>
      <w:r>
        <w:rPr>
          <w:sz w:val="18"/>
        </w:rPr>
        <w:t>or call</w:t>
      </w:r>
      <w:r>
        <w:rPr>
          <w:spacing w:val="-15"/>
          <w:sz w:val="18"/>
        </w:rPr>
        <w:t xml:space="preserve"> </w:t>
      </w:r>
      <w:r>
        <w:rPr>
          <w:sz w:val="18"/>
        </w:rPr>
        <w:t>855-226-2937.</w:t>
      </w:r>
    </w:p>
    <w:p w14:paraId="6DA85F61" w14:textId="38E1158A" w:rsidR="007C0C8B" w:rsidRDefault="00E67181">
      <w:pPr>
        <w:pStyle w:val="ListParagraph"/>
        <w:numPr>
          <w:ilvl w:val="0"/>
          <w:numId w:val="1"/>
        </w:numPr>
        <w:tabs>
          <w:tab w:val="left" w:pos="679"/>
        </w:tabs>
        <w:spacing w:before="79"/>
        <w:ind w:right="251" w:hanging="273"/>
        <w:rPr>
          <w:sz w:val="18"/>
        </w:rPr>
      </w:pPr>
      <w:r>
        <w:rPr>
          <w:sz w:val="18"/>
        </w:rPr>
        <w:t>Payment</w:t>
      </w:r>
      <w:r>
        <w:rPr>
          <w:spacing w:val="-3"/>
          <w:sz w:val="18"/>
        </w:rPr>
        <w:t xml:space="preserve"> </w:t>
      </w:r>
      <w:r>
        <w:rPr>
          <w:sz w:val="18"/>
        </w:rPr>
        <w:t>for</w:t>
      </w:r>
      <w:r>
        <w:rPr>
          <w:spacing w:val="-2"/>
          <w:sz w:val="18"/>
        </w:rPr>
        <w:t xml:space="preserve"> </w:t>
      </w:r>
      <w:r>
        <w:rPr>
          <w:sz w:val="18"/>
        </w:rPr>
        <w:t>your</w:t>
      </w:r>
      <w:r>
        <w:rPr>
          <w:spacing w:val="-3"/>
          <w:sz w:val="18"/>
        </w:rPr>
        <w:t xml:space="preserve"> </w:t>
      </w:r>
      <w:r>
        <w:rPr>
          <w:sz w:val="18"/>
        </w:rPr>
        <w:t>fingerprint</w:t>
      </w:r>
      <w:r>
        <w:rPr>
          <w:spacing w:val="-2"/>
          <w:sz w:val="18"/>
        </w:rPr>
        <w:t xml:space="preserve"> </w:t>
      </w:r>
      <w:r>
        <w:rPr>
          <w:sz w:val="18"/>
        </w:rPr>
        <w:t>service</w:t>
      </w:r>
      <w:r>
        <w:rPr>
          <w:spacing w:val="-5"/>
          <w:sz w:val="18"/>
        </w:rPr>
        <w:t xml:space="preserve"> </w:t>
      </w:r>
      <w:r>
        <w:rPr>
          <w:sz w:val="18"/>
        </w:rPr>
        <w:t>must</w:t>
      </w:r>
      <w:r>
        <w:rPr>
          <w:spacing w:val="-2"/>
          <w:sz w:val="18"/>
        </w:rPr>
        <w:t xml:space="preserve"> </w:t>
      </w:r>
      <w:r>
        <w:rPr>
          <w:sz w:val="18"/>
        </w:rPr>
        <w:t>completed</w:t>
      </w:r>
      <w:r>
        <w:rPr>
          <w:spacing w:val="-3"/>
          <w:sz w:val="18"/>
        </w:rPr>
        <w:t xml:space="preserve"> </w:t>
      </w:r>
      <w:r>
        <w:rPr>
          <w:sz w:val="18"/>
        </w:rPr>
        <w:t>or</w:t>
      </w:r>
      <w:r>
        <w:rPr>
          <w:spacing w:val="-4"/>
          <w:sz w:val="18"/>
        </w:rPr>
        <w:t xml:space="preserve"> </w:t>
      </w:r>
      <w:r>
        <w:rPr>
          <w:sz w:val="18"/>
        </w:rPr>
        <w:t>arranged</w:t>
      </w:r>
      <w:r>
        <w:rPr>
          <w:spacing w:val="-4"/>
          <w:sz w:val="18"/>
        </w:rPr>
        <w:t xml:space="preserve"> </w:t>
      </w:r>
      <w:r>
        <w:rPr>
          <w:sz w:val="18"/>
        </w:rPr>
        <w:t>when</w:t>
      </w:r>
      <w:r>
        <w:rPr>
          <w:spacing w:val="-3"/>
          <w:sz w:val="18"/>
        </w:rPr>
        <w:t xml:space="preserve"> </w:t>
      </w:r>
      <w:r>
        <w:rPr>
          <w:sz w:val="18"/>
        </w:rPr>
        <w:t>you</w:t>
      </w:r>
      <w:r>
        <w:rPr>
          <w:spacing w:val="-2"/>
          <w:sz w:val="18"/>
        </w:rPr>
        <w:t xml:space="preserve"> </w:t>
      </w:r>
      <w:r>
        <w:rPr>
          <w:sz w:val="18"/>
        </w:rPr>
        <w:t>schedule</w:t>
      </w:r>
      <w:r>
        <w:rPr>
          <w:spacing w:val="-5"/>
          <w:sz w:val="18"/>
        </w:rPr>
        <w:t xml:space="preserve"> </w:t>
      </w:r>
      <w:r>
        <w:rPr>
          <w:sz w:val="18"/>
        </w:rPr>
        <w:t>your</w:t>
      </w:r>
      <w:r>
        <w:rPr>
          <w:spacing w:val="-2"/>
          <w:sz w:val="18"/>
        </w:rPr>
        <w:t xml:space="preserve"> </w:t>
      </w:r>
      <w:r>
        <w:rPr>
          <w:sz w:val="18"/>
        </w:rPr>
        <w:t>appointment</w:t>
      </w:r>
      <w:r>
        <w:rPr>
          <w:spacing w:val="-3"/>
          <w:sz w:val="18"/>
        </w:rPr>
        <w:t xml:space="preserve"> </w:t>
      </w:r>
      <w:r>
        <w:rPr>
          <w:sz w:val="18"/>
        </w:rPr>
        <w:t>at</w:t>
      </w:r>
      <w:r>
        <w:rPr>
          <w:color w:val="0000FF"/>
          <w:sz w:val="18"/>
          <w:u w:val="single" w:color="0000FF"/>
        </w:rPr>
        <w:t xml:space="preserve"> </w:t>
      </w:r>
      <w:hyperlink r:id="rId7" w:history="1">
        <w:r w:rsidR="007718A1" w:rsidRPr="00502541">
          <w:rPr>
            <w:rStyle w:val="Hyperlink"/>
          </w:rPr>
          <w:t>www.identogo.com</w:t>
        </w:r>
      </w:hyperlink>
      <w:r w:rsidR="007718A1">
        <w:t xml:space="preserve"> </w:t>
      </w:r>
      <w:r>
        <w:rPr>
          <w:sz w:val="18"/>
        </w:rPr>
        <w:t>or by calling</w:t>
      </w:r>
      <w:r>
        <w:rPr>
          <w:spacing w:val="-5"/>
          <w:sz w:val="18"/>
        </w:rPr>
        <w:t xml:space="preserve"> </w:t>
      </w:r>
      <w:r>
        <w:rPr>
          <w:sz w:val="18"/>
        </w:rPr>
        <w:t>1-855-226-2937.</w:t>
      </w:r>
    </w:p>
    <w:p w14:paraId="6F600DF0" w14:textId="77777777" w:rsidR="007C0C8B" w:rsidRDefault="00E67181">
      <w:pPr>
        <w:pStyle w:val="ListParagraph"/>
        <w:numPr>
          <w:ilvl w:val="0"/>
          <w:numId w:val="1"/>
        </w:numPr>
        <w:tabs>
          <w:tab w:val="left" w:pos="679"/>
        </w:tabs>
        <w:ind w:right="836" w:hanging="273"/>
        <w:rPr>
          <w:b/>
          <w:sz w:val="18"/>
        </w:rPr>
      </w:pPr>
      <w:r>
        <w:rPr>
          <w:sz w:val="18"/>
        </w:rPr>
        <w:t xml:space="preserve">Proceed to the scheduled fingerprint location at the time of your appointment. </w:t>
      </w:r>
      <w:r>
        <w:rPr>
          <w:b/>
          <w:sz w:val="18"/>
        </w:rPr>
        <w:t>You must have</w:t>
      </w:r>
      <w:r>
        <w:rPr>
          <w:b/>
          <w:spacing w:val="-35"/>
          <w:sz w:val="18"/>
        </w:rPr>
        <w:t xml:space="preserve"> </w:t>
      </w:r>
      <w:r>
        <w:rPr>
          <w:b/>
          <w:sz w:val="18"/>
        </w:rPr>
        <w:t xml:space="preserve">an appointment and be registered and have </w:t>
      </w:r>
      <w:proofErr w:type="gramStart"/>
      <w:r>
        <w:rPr>
          <w:b/>
          <w:sz w:val="18"/>
        </w:rPr>
        <w:t>made arrangements</w:t>
      </w:r>
      <w:proofErr w:type="gramEnd"/>
      <w:r>
        <w:rPr>
          <w:b/>
          <w:sz w:val="18"/>
        </w:rPr>
        <w:t xml:space="preserve"> for</w:t>
      </w:r>
      <w:r>
        <w:rPr>
          <w:b/>
          <w:spacing w:val="-9"/>
          <w:sz w:val="18"/>
        </w:rPr>
        <w:t xml:space="preserve"> </w:t>
      </w:r>
      <w:r>
        <w:rPr>
          <w:b/>
          <w:sz w:val="18"/>
        </w:rPr>
        <w:t>payment.</w:t>
      </w:r>
    </w:p>
    <w:p w14:paraId="53039A36" w14:textId="77777777" w:rsidR="007C0C8B" w:rsidRDefault="00E67181">
      <w:pPr>
        <w:pStyle w:val="ListParagraph"/>
        <w:numPr>
          <w:ilvl w:val="0"/>
          <w:numId w:val="1"/>
        </w:numPr>
        <w:tabs>
          <w:tab w:val="left" w:pos="679"/>
        </w:tabs>
        <w:spacing w:before="81" w:line="244" w:lineRule="auto"/>
        <w:ind w:right="238" w:hanging="273"/>
        <w:rPr>
          <w:sz w:val="18"/>
        </w:rPr>
      </w:pPr>
      <w:r>
        <w:rPr>
          <w:sz w:val="18"/>
        </w:rPr>
        <w:t>At</w:t>
      </w:r>
      <w:r>
        <w:rPr>
          <w:spacing w:val="-5"/>
          <w:sz w:val="18"/>
        </w:rPr>
        <w:t xml:space="preserve"> </w:t>
      </w:r>
      <w:r>
        <w:rPr>
          <w:sz w:val="18"/>
        </w:rPr>
        <w:t>the</w:t>
      </w:r>
      <w:r>
        <w:rPr>
          <w:spacing w:val="-2"/>
          <w:sz w:val="18"/>
        </w:rPr>
        <w:t xml:space="preserve"> </w:t>
      </w:r>
      <w:r>
        <w:rPr>
          <w:sz w:val="18"/>
        </w:rPr>
        <w:t>fingerprint</w:t>
      </w:r>
      <w:r>
        <w:rPr>
          <w:spacing w:val="-2"/>
          <w:sz w:val="18"/>
        </w:rPr>
        <w:t xml:space="preserve"> </w:t>
      </w:r>
      <w:r>
        <w:rPr>
          <w:sz w:val="18"/>
        </w:rPr>
        <w:t>service</w:t>
      </w:r>
      <w:r>
        <w:rPr>
          <w:spacing w:val="-4"/>
          <w:sz w:val="18"/>
        </w:rPr>
        <w:t xml:space="preserve"> </w:t>
      </w:r>
      <w:proofErr w:type="gramStart"/>
      <w:r>
        <w:rPr>
          <w:sz w:val="18"/>
        </w:rPr>
        <w:t>site</w:t>
      </w:r>
      <w:proofErr w:type="gramEnd"/>
      <w:r>
        <w:rPr>
          <w:spacing w:val="-3"/>
          <w:sz w:val="18"/>
        </w:rPr>
        <w:t xml:space="preserve"> </w:t>
      </w:r>
      <w:r>
        <w:rPr>
          <w:sz w:val="18"/>
        </w:rPr>
        <w:t>the</w:t>
      </w:r>
      <w:r>
        <w:rPr>
          <w:spacing w:val="2"/>
          <w:sz w:val="18"/>
        </w:rPr>
        <w:t xml:space="preserve"> </w:t>
      </w:r>
      <w:r>
        <w:rPr>
          <w:b/>
          <w:sz w:val="18"/>
        </w:rPr>
        <w:t>Applicant</w:t>
      </w:r>
      <w:r>
        <w:rPr>
          <w:b/>
          <w:spacing w:val="-1"/>
          <w:sz w:val="18"/>
        </w:rPr>
        <w:t xml:space="preserve"> </w:t>
      </w:r>
      <w:r>
        <w:rPr>
          <w:sz w:val="18"/>
        </w:rPr>
        <w:t>must</w:t>
      </w:r>
      <w:r>
        <w:rPr>
          <w:spacing w:val="-5"/>
          <w:sz w:val="18"/>
        </w:rPr>
        <w:t xml:space="preserve"> </w:t>
      </w:r>
      <w:r>
        <w:rPr>
          <w:sz w:val="18"/>
        </w:rPr>
        <w:t>provide</w:t>
      </w:r>
      <w:r>
        <w:rPr>
          <w:spacing w:val="-4"/>
          <w:sz w:val="18"/>
        </w:rPr>
        <w:t xml:space="preserve"> </w:t>
      </w:r>
      <w:r>
        <w:rPr>
          <w:sz w:val="18"/>
        </w:rPr>
        <w:t>a</w:t>
      </w:r>
      <w:r>
        <w:rPr>
          <w:spacing w:val="-2"/>
          <w:sz w:val="18"/>
        </w:rPr>
        <w:t xml:space="preserve"> </w:t>
      </w:r>
      <w:r>
        <w:rPr>
          <w:sz w:val="18"/>
        </w:rPr>
        <w:t>valid</w:t>
      </w:r>
      <w:r>
        <w:rPr>
          <w:spacing w:val="-2"/>
          <w:sz w:val="18"/>
        </w:rPr>
        <w:t xml:space="preserve"> </w:t>
      </w:r>
      <w:r>
        <w:rPr>
          <w:sz w:val="18"/>
        </w:rPr>
        <w:t>State</w:t>
      </w:r>
      <w:r>
        <w:rPr>
          <w:spacing w:val="-5"/>
          <w:sz w:val="18"/>
        </w:rPr>
        <w:t xml:space="preserve"> </w:t>
      </w:r>
      <w:r>
        <w:rPr>
          <w:sz w:val="18"/>
        </w:rPr>
        <w:t>or</w:t>
      </w:r>
      <w:r>
        <w:rPr>
          <w:spacing w:val="-2"/>
          <w:sz w:val="18"/>
        </w:rPr>
        <w:t xml:space="preserve"> </w:t>
      </w:r>
      <w:r>
        <w:rPr>
          <w:sz w:val="18"/>
        </w:rPr>
        <w:t>Federal</w:t>
      </w:r>
      <w:r>
        <w:rPr>
          <w:spacing w:val="-2"/>
          <w:sz w:val="18"/>
        </w:rPr>
        <w:t xml:space="preserve"> </w:t>
      </w:r>
      <w:r>
        <w:rPr>
          <w:sz w:val="18"/>
        </w:rPr>
        <w:t>photo</w:t>
      </w:r>
      <w:r>
        <w:rPr>
          <w:spacing w:val="-2"/>
          <w:sz w:val="18"/>
        </w:rPr>
        <w:t xml:space="preserve"> </w:t>
      </w:r>
      <w:r>
        <w:rPr>
          <w:sz w:val="18"/>
        </w:rPr>
        <w:t>identification,</w:t>
      </w:r>
      <w:r>
        <w:rPr>
          <w:spacing w:val="-3"/>
          <w:sz w:val="18"/>
        </w:rPr>
        <w:t xml:space="preserve"> </w:t>
      </w:r>
      <w:r>
        <w:rPr>
          <w:sz w:val="18"/>
        </w:rPr>
        <w:t>and submit a set of</w:t>
      </w:r>
      <w:r>
        <w:rPr>
          <w:spacing w:val="-5"/>
          <w:sz w:val="18"/>
        </w:rPr>
        <w:t xml:space="preserve"> </w:t>
      </w:r>
      <w:r>
        <w:rPr>
          <w:sz w:val="18"/>
        </w:rPr>
        <w:t>fingerprints.</w:t>
      </w:r>
    </w:p>
    <w:p w14:paraId="4C3FE45B" w14:textId="77777777" w:rsidR="007C0C8B" w:rsidRDefault="00E67181">
      <w:pPr>
        <w:pStyle w:val="ListParagraph"/>
        <w:numPr>
          <w:ilvl w:val="0"/>
          <w:numId w:val="1"/>
        </w:numPr>
        <w:tabs>
          <w:tab w:val="left" w:pos="658"/>
        </w:tabs>
        <w:spacing w:before="117" w:line="237" w:lineRule="auto"/>
        <w:ind w:left="724" w:right="205" w:hanging="360"/>
        <w:rPr>
          <w:b/>
          <w:sz w:val="18"/>
        </w:rPr>
      </w:pPr>
      <w:r>
        <w:rPr>
          <w:sz w:val="18"/>
        </w:rPr>
        <w:t>Fingerprints</w:t>
      </w:r>
      <w:r>
        <w:rPr>
          <w:spacing w:val="-2"/>
          <w:sz w:val="18"/>
        </w:rPr>
        <w:t xml:space="preserve"> </w:t>
      </w:r>
      <w:r>
        <w:rPr>
          <w:sz w:val="18"/>
        </w:rPr>
        <w:t>will</w:t>
      </w:r>
      <w:r>
        <w:rPr>
          <w:spacing w:val="-4"/>
          <w:sz w:val="18"/>
        </w:rPr>
        <w:t xml:space="preserve"> </w:t>
      </w:r>
      <w:r>
        <w:rPr>
          <w:sz w:val="18"/>
        </w:rPr>
        <w:t>be</w:t>
      </w:r>
      <w:r>
        <w:rPr>
          <w:spacing w:val="-3"/>
          <w:sz w:val="18"/>
        </w:rPr>
        <w:t xml:space="preserve"> </w:t>
      </w:r>
      <w:r>
        <w:rPr>
          <w:sz w:val="18"/>
        </w:rPr>
        <w:t>electronically</w:t>
      </w:r>
      <w:r>
        <w:rPr>
          <w:spacing w:val="-4"/>
          <w:sz w:val="18"/>
        </w:rPr>
        <w:t xml:space="preserve"> </w:t>
      </w:r>
      <w:r>
        <w:rPr>
          <w:sz w:val="18"/>
        </w:rPr>
        <w:t>forwarded</w:t>
      </w:r>
      <w:r>
        <w:rPr>
          <w:spacing w:val="-5"/>
          <w:sz w:val="18"/>
        </w:rPr>
        <w:t xml:space="preserve"> </w:t>
      </w:r>
      <w:r>
        <w:rPr>
          <w:sz w:val="18"/>
        </w:rPr>
        <w:t>to</w:t>
      </w:r>
      <w:r>
        <w:rPr>
          <w:spacing w:val="-2"/>
          <w:sz w:val="18"/>
        </w:rPr>
        <w:t xml:space="preserve"> </w:t>
      </w:r>
      <w:r>
        <w:rPr>
          <w:sz w:val="18"/>
        </w:rPr>
        <w:t>the</w:t>
      </w:r>
      <w:r>
        <w:rPr>
          <w:spacing w:val="-3"/>
          <w:sz w:val="18"/>
        </w:rPr>
        <w:t xml:space="preserve"> </w:t>
      </w:r>
      <w:r>
        <w:rPr>
          <w:sz w:val="18"/>
        </w:rPr>
        <w:t>Tennessee</w:t>
      </w:r>
      <w:r>
        <w:rPr>
          <w:spacing w:val="-2"/>
          <w:sz w:val="18"/>
        </w:rPr>
        <w:t xml:space="preserve"> </w:t>
      </w:r>
      <w:r>
        <w:rPr>
          <w:sz w:val="18"/>
        </w:rPr>
        <w:t>Bureau</w:t>
      </w:r>
      <w:r>
        <w:rPr>
          <w:spacing w:val="-3"/>
          <w:sz w:val="18"/>
        </w:rPr>
        <w:t xml:space="preserve"> </w:t>
      </w:r>
      <w:r>
        <w:rPr>
          <w:sz w:val="18"/>
        </w:rPr>
        <w:t>of</w:t>
      </w:r>
      <w:r>
        <w:rPr>
          <w:spacing w:val="-4"/>
          <w:sz w:val="18"/>
        </w:rPr>
        <w:t xml:space="preserve"> </w:t>
      </w:r>
      <w:r>
        <w:rPr>
          <w:sz w:val="18"/>
        </w:rPr>
        <w:t>Investigation</w:t>
      </w:r>
      <w:r>
        <w:rPr>
          <w:spacing w:val="-5"/>
          <w:sz w:val="18"/>
        </w:rPr>
        <w:t xml:space="preserve"> </w:t>
      </w:r>
      <w:r>
        <w:rPr>
          <w:spacing w:val="2"/>
          <w:sz w:val="18"/>
        </w:rPr>
        <w:t>and</w:t>
      </w:r>
      <w:r>
        <w:rPr>
          <w:spacing w:val="-2"/>
          <w:sz w:val="18"/>
        </w:rPr>
        <w:t xml:space="preserve"> </w:t>
      </w:r>
      <w:r>
        <w:rPr>
          <w:sz w:val="18"/>
        </w:rPr>
        <w:t>all</w:t>
      </w:r>
      <w:r>
        <w:rPr>
          <w:spacing w:val="-3"/>
          <w:sz w:val="18"/>
        </w:rPr>
        <w:t xml:space="preserve"> </w:t>
      </w:r>
      <w:r>
        <w:rPr>
          <w:sz w:val="18"/>
        </w:rPr>
        <w:t>results</w:t>
      </w:r>
      <w:r>
        <w:rPr>
          <w:spacing w:val="-1"/>
          <w:sz w:val="18"/>
        </w:rPr>
        <w:t xml:space="preserve"> </w:t>
      </w:r>
      <w:r>
        <w:rPr>
          <w:sz w:val="18"/>
        </w:rPr>
        <w:t>of</w:t>
      </w:r>
      <w:r>
        <w:rPr>
          <w:spacing w:val="-3"/>
          <w:sz w:val="18"/>
        </w:rPr>
        <w:t xml:space="preserve"> </w:t>
      </w:r>
      <w:r>
        <w:rPr>
          <w:sz w:val="18"/>
        </w:rPr>
        <w:t xml:space="preserve">the fingerprint background check will be provided to the </w:t>
      </w:r>
      <w:r>
        <w:rPr>
          <w:b/>
          <w:sz w:val="18"/>
        </w:rPr>
        <w:t>Agency.</w:t>
      </w:r>
    </w:p>
    <w:p w14:paraId="4A284FA0" w14:textId="77777777" w:rsidR="007C0C8B" w:rsidRDefault="007C0C8B">
      <w:pPr>
        <w:pStyle w:val="BodyText"/>
        <w:rPr>
          <w:b/>
          <w:sz w:val="20"/>
        </w:rPr>
      </w:pPr>
    </w:p>
    <w:p w14:paraId="07837B6E" w14:textId="77777777" w:rsidR="007C0C8B" w:rsidRDefault="007C0C8B">
      <w:pPr>
        <w:pStyle w:val="BodyText"/>
        <w:spacing w:before="11"/>
        <w:rPr>
          <w:b/>
        </w:rPr>
      </w:pPr>
    </w:p>
    <w:p w14:paraId="5A22D751" w14:textId="24ABD165" w:rsidR="007C0C8B" w:rsidRDefault="00E67181">
      <w:pPr>
        <w:ind w:left="112"/>
        <w:rPr>
          <w:i/>
          <w:sz w:val="18"/>
        </w:rPr>
      </w:pPr>
      <w:r>
        <w:rPr>
          <w:i/>
          <w:color w:val="FF0000"/>
          <w:sz w:val="18"/>
        </w:rPr>
        <w:t xml:space="preserve">Background checks take time. </w:t>
      </w:r>
      <w:proofErr w:type="spellStart"/>
      <w:r w:rsidR="00355167">
        <w:rPr>
          <w:i/>
          <w:color w:val="FF0000"/>
          <w:sz w:val="18"/>
        </w:rPr>
        <w:t>IdentoGO</w:t>
      </w:r>
      <w:proofErr w:type="spellEnd"/>
      <w:r>
        <w:rPr>
          <w:i/>
          <w:color w:val="FF0000"/>
          <w:sz w:val="18"/>
        </w:rPr>
        <w:t xml:space="preserve"> does not have access, nor does it involve itself with the summary execution of an applicant background check.</w:t>
      </w:r>
      <w:r>
        <w:rPr>
          <w:i/>
          <w:color w:val="FF0000"/>
          <w:spacing w:val="7"/>
          <w:sz w:val="18"/>
        </w:rPr>
        <w:t xml:space="preserve"> </w:t>
      </w:r>
      <w:r>
        <w:rPr>
          <w:i/>
          <w:color w:val="FF0000"/>
          <w:sz w:val="18"/>
        </w:rPr>
        <w:t xml:space="preserve">To this extent </w:t>
      </w:r>
      <w:r w:rsidR="00355167">
        <w:rPr>
          <w:i/>
          <w:color w:val="FF0000"/>
          <w:sz w:val="18"/>
        </w:rPr>
        <w:t>IdentoGO</w:t>
      </w:r>
      <w:r>
        <w:rPr>
          <w:i/>
          <w:color w:val="FF0000"/>
          <w:sz w:val="18"/>
        </w:rPr>
        <w:t xml:space="preserve"> cannot provide you information regarding the background check process, or when it will be</w:t>
      </w:r>
      <w:r>
        <w:rPr>
          <w:i/>
          <w:color w:val="FF0000"/>
          <w:spacing w:val="-13"/>
          <w:sz w:val="18"/>
        </w:rPr>
        <w:t xml:space="preserve"> </w:t>
      </w:r>
      <w:r>
        <w:rPr>
          <w:i/>
          <w:color w:val="FF0000"/>
          <w:sz w:val="18"/>
        </w:rPr>
        <w:t>completed.</w:t>
      </w:r>
    </w:p>
    <w:sectPr w:rsidR="007C0C8B">
      <w:type w:val="continuous"/>
      <w:pgSz w:w="12240" w:h="15840"/>
      <w:pgMar w:top="900" w:right="1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8053A"/>
    <w:multiLevelType w:val="hybridMultilevel"/>
    <w:tmpl w:val="6974F330"/>
    <w:lvl w:ilvl="0" w:tplc="31B09FA2">
      <w:start w:val="1"/>
      <w:numFmt w:val="decimal"/>
      <w:lvlText w:val="%1."/>
      <w:lvlJc w:val="left"/>
      <w:pPr>
        <w:ind w:left="659" w:hanging="293"/>
        <w:jc w:val="left"/>
      </w:pPr>
      <w:rPr>
        <w:rFonts w:ascii="Arial" w:eastAsia="Arial" w:hAnsi="Arial" w:cs="Arial" w:hint="default"/>
        <w:spacing w:val="-9"/>
        <w:w w:val="99"/>
        <w:sz w:val="18"/>
        <w:szCs w:val="18"/>
        <w:lang w:val="en-US" w:eastAsia="en-US" w:bidi="en-US"/>
      </w:rPr>
    </w:lvl>
    <w:lvl w:ilvl="1" w:tplc="9D487802">
      <w:numFmt w:val="bullet"/>
      <w:lvlText w:val="•"/>
      <w:lvlJc w:val="left"/>
      <w:pPr>
        <w:ind w:left="1524" w:hanging="293"/>
      </w:pPr>
      <w:rPr>
        <w:rFonts w:hint="default"/>
        <w:lang w:val="en-US" w:eastAsia="en-US" w:bidi="en-US"/>
      </w:rPr>
    </w:lvl>
    <w:lvl w:ilvl="2" w:tplc="54DAB986">
      <w:numFmt w:val="bullet"/>
      <w:lvlText w:val="•"/>
      <w:lvlJc w:val="left"/>
      <w:pPr>
        <w:ind w:left="2388" w:hanging="293"/>
      </w:pPr>
      <w:rPr>
        <w:rFonts w:hint="default"/>
        <w:lang w:val="en-US" w:eastAsia="en-US" w:bidi="en-US"/>
      </w:rPr>
    </w:lvl>
    <w:lvl w:ilvl="3" w:tplc="C2F84548">
      <w:numFmt w:val="bullet"/>
      <w:lvlText w:val="•"/>
      <w:lvlJc w:val="left"/>
      <w:pPr>
        <w:ind w:left="3252" w:hanging="293"/>
      </w:pPr>
      <w:rPr>
        <w:rFonts w:hint="default"/>
        <w:lang w:val="en-US" w:eastAsia="en-US" w:bidi="en-US"/>
      </w:rPr>
    </w:lvl>
    <w:lvl w:ilvl="4" w:tplc="39165D60">
      <w:numFmt w:val="bullet"/>
      <w:lvlText w:val="•"/>
      <w:lvlJc w:val="left"/>
      <w:pPr>
        <w:ind w:left="4116" w:hanging="293"/>
      </w:pPr>
      <w:rPr>
        <w:rFonts w:hint="default"/>
        <w:lang w:val="en-US" w:eastAsia="en-US" w:bidi="en-US"/>
      </w:rPr>
    </w:lvl>
    <w:lvl w:ilvl="5" w:tplc="C2105526">
      <w:numFmt w:val="bullet"/>
      <w:lvlText w:val="•"/>
      <w:lvlJc w:val="left"/>
      <w:pPr>
        <w:ind w:left="4980" w:hanging="293"/>
      </w:pPr>
      <w:rPr>
        <w:rFonts w:hint="default"/>
        <w:lang w:val="en-US" w:eastAsia="en-US" w:bidi="en-US"/>
      </w:rPr>
    </w:lvl>
    <w:lvl w:ilvl="6" w:tplc="F3046028">
      <w:numFmt w:val="bullet"/>
      <w:lvlText w:val="•"/>
      <w:lvlJc w:val="left"/>
      <w:pPr>
        <w:ind w:left="5844" w:hanging="293"/>
      </w:pPr>
      <w:rPr>
        <w:rFonts w:hint="default"/>
        <w:lang w:val="en-US" w:eastAsia="en-US" w:bidi="en-US"/>
      </w:rPr>
    </w:lvl>
    <w:lvl w:ilvl="7" w:tplc="5ED8E7F8">
      <w:numFmt w:val="bullet"/>
      <w:lvlText w:val="•"/>
      <w:lvlJc w:val="left"/>
      <w:pPr>
        <w:ind w:left="6708" w:hanging="293"/>
      </w:pPr>
      <w:rPr>
        <w:rFonts w:hint="default"/>
        <w:lang w:val="en-US" w:eastAsia="en-US" w:bidi="en-US"/>
      </w:rPr>
    </w:lvl>
    <w:lvl w:ilvl="8" w:tplc="A080E918">
      <w:numFmt w:val="bullet"/>
      <w:lvlText w:val="•"/>
      <w:lvlJc w:val="left"/>
      <w:pPr>
        <w:ind w:left="7572"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C0C8B"/>
    <w:rsid w:val="00355167"/>
    <w:rsid w:val="00591555"/>
    <w:rsid w:val="007718A1"/>
    <w:rsid w:val="007C0C8B"/>
    <w:rsid w:val="007D296C"/>
    <w:rsid w:val="00E6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9734"/>
  <w15:docId w15:val="{7180289F-A0BB-466F-9AE0-4F7FECFA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2"/>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75"/>
      <w:ind w:left="659" w:hanging="27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18A1"/>
    <w:rPr>
      <w:color w:val="0000FF" w:themeColor="hyperlink"/>
      <w:u w:val="single"/>
    </w:rPr>
  </w:style>
  <w:style w:type="character" w:styleId="UnresolvedMention">
    <w:name w:val="Unresolved Mention"/>
    <w:basedOn w:val="DefaultParagraphFont"/>
    <w:uiPriority w:val="99"/>
    <w:semiHidden/>
    <w:unhideWhenUsed/>
    <w:rsid w:val="007718A1"/>
    <w:rPr>
      <w:color w:val="605E5C"/>
      <w:shd w:val="clear" w:color="auto" w:fill="E1DFDD"/>
    </w:rPr>
  </w:style>
  <w:style w:type="character" w:styleId="FollowedHyperlink">
    <w:name w:val="FollowedHyperlink"/>
    <w:basedOn w:val="DefaultParagraphFont"/>
    <w:uiPriority w:val="99"/>
    <w:semiHidden/>
    <w:unhideWhenUsed/>
    <w:rsid w:val="00E67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1enrollment.com/" TargetMode="External"/><Relationship Id="rId5" Type="http://schemas.openxmlformats.org/officeDocument/2006/relationships/hyperlink" Target="http://www.identog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Cogent Tennessee Applicant Background Check Procedures</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Cogent Tennessee Applicant Background Check Procedures</dc:title>
  <dc:creator>DE40STA</dc:creator>
  <cp:lastModifiedBy>David Shirk</cp:lastModifiedBy>
  <cp:revision>3</cp:revision>
  <dcterms:created xsi:type="dcterms:W3CDTF">2020-11-20T21:56:00Z</dcterms:created>
  <dcterms:modified xsi:type="dcterms:W3CDTF">2020-11-20T22:04:00Z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2011-07-29T00:00:00Z</vt:filetime>
  </property>
  <property fmtid="{D5CDD505-2E9C-101B-9397-08002B2CF9AE}" pid="3" name="Creator">
    <vt:lpwstr>Microsoft® Office Word 2007</vt:lpwstr>
  </property>
  <property fmtid="{D5CDD505-2E9C-101B-9397-08002B2CF9AE}" pid="4" name="LastSaved">
    <vt:filetime>2020-11-20T00:00:00Z</vt:filetime>
  </property>
</Properties>
</file>