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31" w:rsidRDefault="007C4631" w:rsidP="00264B15">
      <w:pPr>
        <w:pStyle w:val="Heading1"/>
        <w:rPr>
          <w:rStyle w:val="Heading2Char"/>
        </w:rPr>
      </w:pPr>
      <w:r>
        <w:rPr>
          <w:szCs w:val="36"/>
        </w:rPr>
        <w:t>Frequently Asked Questions</w:t>
      </w:r>
      <w:r>
        <w:rPr>
          <w:szCs w:val="36"/>
        </w:rPr>
        <w:br/>
      </w:r>
      <w:r w:rsidR="00264B15">
        <w:rPr>
          <w:rStyle w:val="Heading2Char"/>
        </w:rPr>
        <w:t xml:space="preserve">Therapy Services for </w:t>
      </w:r>
      <w:r w:rsidR="001C73A7">
        <w:rPr>
          <w:rStyle w:val="Heading2Char"/>
        </w:rPr>
        <w:t>School-Based Medicaid</w:t>
      </w:r>
      <w:r w:rsidR="00264B15">
        <w:rPr>
          <w:rStyle w:val="Heading2Char"/>
        </w:rPr>
        <w:t xml:space="preserve"> Reimbursement</w:t>
      </w:r>
    </w:p>
    <w:p w:rsidR="007C4631" w:rsidRDefault="007C4631" w:rsidP="00D2342B">
      <w:pPr>
        <w:pStyle w:val="BodyText"/>
      </w:pPr>
      <w:r>
        <w:br/>
      </w:r>
      <w:r w:rsidR="00D2342B">
        <w:t xml:space="preserve">This document </w:t>
      </w:r>
      <w:r w:rsidR="00E250B8">
        <w:t xml:space="preserve">is intended to </w:t>
      </w:r>
      <w:r w:rsidR="00D6517E">
        <w:t xml:space="preserve">answer commonly asked questions to </w:t>
      </w:r>
      <w:r w:rsidR="00D2342B">
        <w:t xml:space="preserve">assist schools and service providers in understanding procedural requirements related to service delivery, documentation, and provider types for </w:t>
      </w:r>
      <w:r w:rsidR="001C73A7">
        <w:t>Medicaid-reimbursable services</w:t>
      </w:r>
      <w:r w:rsidR="00D2342B">
        <w:t xml:space="preserve">. Schools are reminded that </w:t>
      </w:r>
      <w:r w:rsidR="001C73A7">
        <w:t>a student’s individualized education plan (IEP)</w:t>
      </w:r>
      <w:r w:rsidR="00D2342B">
        <w:t xml:space="preserve"> must always be written for the</w:t>
      </w:r>
      <w:r w:rsidR="00E250B8">
        <w:t xml:space="preserve"> student’s</w:t>
      </w:r>
      <w:r w:rsidR="00D2342B">
        <w:t xml:space="preserve"> needs, </w:t>
      </w:r>
      <w:r w:rsidR="001C73A7">
        <w:t xml:space="preserve">regardless of qualifications for </w:t>
      </w:r>
      <w:r w:rsidR="00D2342B">
        <w:t xml:space="preserve">Medicaid </w:t>
      </w:r>
      <w:r w:rsidR="001C73A7">
        <w:t>reimbursement</w:t>
      </w:r>
      <w:r w:rsidR="00D2342B">
        <w:t xml:space="preserve">. </w:t>
      </w:r>
    </w:p>
    <w:p w:rsidR="00D2342B" w:rsidRPr="00E40005" w:rsidRDefault="00D2342B" w:rsidP="00D2342B">
      <w:pPr>
        <w:pStyle w:val="BodyText"/>
        <w:rPr>
          <w:rFonts w:cs="Open Sans"/>
        </w:rPr>
      </w:pPr>
    </w:p>
    <w:p w:rsidR="007C4631" w:rsidRPr="007C4631" w:rsidRDefault="007C49D6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>
        <w:rPr>
          <w:b/>
          <w:i/>
          <w:color w:val="231F20"/>
        </w:rPr>
        <w:t xml:space="preserve">Must therapy services be provided in a </w:t>
      </w:r>
      <w:r w:rsidR="001C73A7">
        <w:rPr>
          <w:b/>
          <w:i/>
          <w:color w:val="231F20"/>
        </w:rPr>
        <w:t>one-one-one setting</w:t>
      </w:r>
      <w:r>
        <w:rPr>
          <w:b/>
          <w:i/>
          <w:color w:val="231F20"/>
        </w:rPr>
        <w:t xml:space="preserve"> to be eligible for reimbursement</w:t>
      </w:r>
      <w:r w:rsidR="001C73A7">
        <w:rPr>
          <w:b/>
          <w:i/>
          <w:color w:val="231F20"/>
        </w:rPr>
        <w:t>?</w:t>
      </w:r>
    </w:p>
    <w:p w:rsidR="007C4631" w:rsidRPr="007C4631" w:rsidRDefault="007C49D6" w:rsidP="007C4631">
      <w:pPr>
        <w:pStyle w:val="BodyText"/>
        <w:spacing w:before="65"/>
        <w:ind w:left="360"/>
      </w:pPr>
      <w:r>
        <w:rPr>
          <w:color w:val="231F20"/>
        </w:rPr>
        <w:t>No, but the service must have been deemed med</w:t>
      </w:r>
      <w:bookmarkStart w:id="0" w:name="_GoBack"/>
      <w:bookmarkEnd w:id="0"/>
      <w:r>
        <w:rPr>
          <w:color w:val="231F20"/>
        </w:rPr>
        <w:t xml:space="preserve">ically necessary with a doctor’s order and those services must be documented in the student’s IEP. The </w:t>
      </w:r>
      <w:r w:rsidR="00321ACF">
        <w:rPr>
          <w:color w:val="231F20"/>
        </w:rPr>
        <w:t>IEP team is responsible for determining the frequency, duration, and location of services</w:t>
      </w:r>
      <w:r w:rsidR="0013268C">
        <w:rPr>
          <w:color w:val="231F20"/>
        </w:rPr>
        <w:t xml:space="preserve"> and th</w:t>
      </w:r>
      <w:r w:rsidR="00321ACF">
        <w:rPr>
          <w:color w:val="231F20"/>
        </w:rPr>
        <w:t xml:space="preserve">ose IEP determinations must be followed regardless of </w:t>
      </w:r>
      <w:r w:rsidR="00002872">
        <w:rPr>
          <w:color w:val="231F20"/>
        </w:rPr>
        <w:t xml:space="preserve">whether they </w:t>
      </w:r>
      <w:r w:rsidR="0013268C">
        <w:rPr>
          <w:color w:val="231F20"/>
        </w:rPr>
        <w:t xml:space="preserve">qualify for </w:t>
      </w:r>
      <w:r w:rsidR="00321ACF">
        <w:rPr>
          <w:color w:val="231F20"/>
        </w:rPr>
        <w:t xml:space="preserve">reimbursement.  </w:t>
      </w:r>
      <w:r w:rsidR="007C4631" w:rsidRPr="007C4631">
        <w:rPr>
          <w:color w:val="231F20"/>
        </w:rPr>
        <w:br/>
        <w:t xml:space="preserve"> </w:t>
      </w:r>
    </w:p>
    <w:p w:rsidR="007C4631" w:rsidRPr="007C4631" w:rsidRDefault="00D32F96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>
        <w:rPr>
          <w:b/>
          <w:i/>
          <w:color w:val="231F20"/>
        </w:rPr>
        <w:t>Are</w:t>
      </w:r>
      <w:r w:rsidR="0013268C">
        <w:rPr>
          <w:b/>
          <w:i/>
          <w:color w:val="231F20"/>
        </w:rPr>
        <w:t xml:space="preserve"> therapy services delivered in a general education setting (e.g., classroom, cafeteria, gym, etc.)</w:t>
      </w:r>
      <w:r>
        <w:rPr>
          <w:b/>
          <w:i/>
          <w:color w:val="231F20"/>
        </w:rPr>
        <w:t xml:space="preserve"> billable</w:t>
      </w:r>
      <w:r w:rsidR="0013268C">
        <w:rPr>
          <w:b/>
          <w:i/>
          <w:color w:val="231F20"/>
        </w:rPr>
        <w:t xml:space="preserve">? </w:t>
      </w:r>
    </w:p>
    <w:p w:rsidR="007C4631" w:rsidRPr="007C4631" w:rsidRDefault="0013268C" w:rsidP="007C4631">
      <w:pPr>
        <w:pStyle w:val="BodyText"/>
        <w:spacing w:before="65"/>
        <w:ind w:left="360"/>
        <w:rPr>
          <w:b/>
          <w:i/>
        </w:rPr>
      </w:pPr>
      <w:r>
        <w:rPr>
          <w:color w:val="231F20"/>
        </w:rPr>
        <w:t>Yes</w:t>
      </w:r>
      <w:r w:rsidR="00F10769">
        <w:rPr>
          <w:color w:val="231F20"/>
        </w:rPr>
        <w:t>. Services provided in a school setting, regardless of the location within the school, are bill</w:t>
      </w:r>
      <w:r w:rsidR="00D32F96">
        <w:rPr>
          <w:color w:val="231F20"/>
        </w:rPr>
        <w:t xml:space="preserve">able; the only claim requirement is to indicate the </w:t>
      </w:r>
      <w:r w:rsidR="00F10769">
        <w:rPr>
          <w:color w:val="231F20"/>
        </w:rPr>
        <w:t>place of service (POS) code</w:t>
      </w:r>
      <w:r w:rsidR="00264B15">
        <w:rPr>
          <w:color w:val="231F20"/>
        </w:rPr>
        <w:t>. The POS code for services</w:t>
      </w:r>
      <w:r w:rsidR="00D32F96">
        <w:rPr>
          <w:color w:val="231F20"/>
        </w:rPr>
        <w:t xml:space="preserve"> delivered in </w:t>
      </w:r>
      <w:r w:rsidR="00264B15">
        <w:rPr>
          <w:color w:val="231F20"/>
        </w:rPr>
        <w:t xml:space="preserve">a </w:t>
      </w:r>
      <w:r w:rsidR="00D32F96">
        <w:rPr>
          <w:color w:val="231F20"/>
        </w:rPr>
        <w:t>school</w:t>
      </w:r>
      <w:r w:rsidR="00F10769">
        <w:rPr>
          <w:color w:val="231F20"/>
        </w:rPr>
        <w:t xml:space="preserve"> </w:t>
      </w:r>
      <w:r w:rsidR="00D32F96">
        <w:rPr>
          <w:color w:val="231F20"/>
        </w:rPr>
        <w:t xml:space="preserve">is </w:t>
      </w:r>
      <w:r w:rsidR="00F10769">
        <w:rPr>
          <w:color w:val="231F20"/>
        </w:rPr>
        <w:t xml:space="preserve">03. </w:t>
      </w:r>
      <w:r w:rsidR="00D32F96">
        <w:rPr>
          <w:color w:val="231F20"/>
        </w:rPr>
        <w:t xml:space="preserve">The </w:t>
      </w:r>
      <w:r w:rsidR="00F10769">
        <w:rPr>
          <w:color w:val="231F20"/>
        </w:rPr>
        <w:t xml:space="preserve">IEP must indicate the </w:t>
      </w:r>
      <w:r>
        <w:rPr>
          <w:color w:val="231F20"/>
        </w:rPr>
        <w:t>frequency, duration</w:t>
      </w:r>
      <w:r w:rsidR="00F10769">
        <w:rPr>
          <w:color w:val="231F20"/>
        </w:rPr>
        <w:t>,</w:t>
      </w:r>
      <w:r>
        <w:rPr>
          <w:color w:val="231F20"/>
        </w:rPr>
        <w:t xml:space="preserve"> and </w:t>
      </w:r>
      <w:r w:rsidR="00F10769">
        <w:rPr>
          <w:color w:val="231F20"/>
        </w:rPr>
        <w:t>location</w:t>
      </w:r>
      <w:r w:rsidR="00D32F96">
        <w:rPr>
          <w:color w:val="231F20"/>
        </w:rPr>
        <w:t xml:space="preserve"> (i.e., general education, special education) </w:t>
      </w:r>
      <w:r w:rsidR="00F10769">
        <w:rPr>
          <w:color w:val="231F20"/>
        </w:rPr>
        <w:t xml:space="preserve">and there must be a doctor’s order for the service. </w:t>
      </w:r>
      <w:r>
        <w:rPr>
          <w:color w:val="231F20"/>
        </w:rPr>
        <w:t xml:space="preserve">  </w:t>
      </w:r>
      <w:r w:rsidR="007C4631" w:rsidRPr="007C4631">
        <w:rPr>
          <w:color w:val="231F20"/>
        </w:rPr>
        <w:br/>
      </w:r>
    </w:p>
    <w:p w:rsidR="007C4631" w:rsidRPr="007C4631" w:rsidRDefault="00D32F96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>
        <w:rPr>
          <w:b/>
          <w:i/>
          <w:color w:val="231F20"/>
        </w:rPr>
        <w:t xml:space="preserve">If </w:t>
      </w:r>
      <w:r w:rsidR="0052607E">
        <w:rPr>
          <w:b/>
          <w:i/>
          <w:color w:val="231F20"/>
        </w:rPr>
        <w:t xml:space="preserve">multiple </w:t>
      </w:r>
      <w:r>
        <w:rPr>
          <w:b/>
          <w:i/>
          <w:color w:val="231F20"/>
        </w:rPr>
        <w:t xml:space="preserve">students are served in a group, how are </w:t>
      </w:r>
      <w:r w:rsidR="0052607E">
        <w:rPr>
          <w:b/>
          <w:i/>
          <w:color w:val="231F20"/>
        </w:rPr>
        <w:t xml:space="preserve">each student’s </w:t>
      </w:r>
      <w:r>
        <w:rPr>
          <w:b/>
          <w:i/>
          <w:color w:val="231F20"/>
        </w:rPr>
        <w:t>service</w:t>
      </w:r>
      <w:r w:rsidR="0052607E">
        <w:rPr>
          <w:b/>
          <w:i/>
          <w:color w:val="231F20"/>
        </w:rPr>
        <w:t xml:space="preserve"> times</w:t>
      </w:r>
      <w:r>
        <w:rPr>
          <w:b/>
          <w:i/>
          <w:color w:val="231F20"/>
        </w:rPr>
        <w:t xml:space="preserve"> billed?</w:t>
      </w:r>
    </w:p>
    <w:p w:rsidR="007C4631" w:rsidRPr="007C4631" w:rsidRDefault="0052607E" w:rsidP="007C4631">
      <w:pPr>
        <w:pStyle w:val="BodyText"/>
        <w:spacing w:before="65"/>
        <w:ind w:left="360"/>
        <w:rPr>
          <w:b/>
          <w:i/>
        </w:rPr>
      </w:pPr>
      <w:r>
        <w:rPr>
          <w:color w:val="231F20"/>
        </w:rPr>
        <w:t>Services should be billed for each individual student with coding to indicate the session was a group session. The provider should bill for the number of minutes per session for each individual whether it is in a 1:1 or group.</w:t>
      </w:r>
      <w:r w:rsidR="007C4631" w:rsidRPr="007C4631">
        <w:rPr>
          <w:color w:val="231F20"/>
        </w:rPr>
        <w:br/>
      </w:r>
    </w:p>
    <w:p w:rsidR="007C4631" w:rsidRPr="00040804" w:rsidRDefault="00002872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 w:rsidRPr="00040804">
        <w:rPr>
          <w:b/>
          <w:i/>
          <w:color w:val="231F20"/>
        </w:rPr>
        <w:t xml:space="preserve">Can therapy assistants provide billable services? </w:t>
      </w:r>
    </w:p>
    <w:p w:rsidR="007C4631" w:rsidRPr="004A40A4" w:rsidRDefault="00002872" w:rsidP="007C4631">
      <w:pPr>
        <w:pStyle w:val="BodyText"/>
        <w:spacing w:before="65"/>
        <w:ind w:left="360"/>
        <w:rPr>
          <w:color w:val="231F20"/>
        </w:rPr>
      </w:pPr>
      <w:r w:rsidRPr="00040804">
        <w:rPr>
          <w:color w:val="231F20"/>
        </w:rPr>
        <w:t>Yes</w:t>
      </w:r>
      <w:r w:rsidR="00E250B8" w:rsidRPr="00040804">
        <w:rPr>
          <w:color w:val="231F20"/>
        </w:rPr>
        <w:t xml:space="preserve">. </w:t>
      </w:r>
      <w:proofErr w:type="spellStart"/>
      <w:r w:rsidRPr="00040804">
        <w:rPr>
          <w:color w:val="231F20"/>
        </w:rPr>
        <w:t>TennCare</w:t>
      </w:r>
      <w:proofErr w:type="spellEnd"/>
      <w:r w:rsidRPr="00040804">
        <w:rPr>
          <w:color w:val="231F20"/>
        </w:rPr>
        <w:t xml:space="preserve"> rules allow coverage for therapy assistants, </w:t>
      </w:r>
      <w:r w:rsidR="00E250B8" w:rsidRPr="00040804">
        <w:rPr>
          <w:color w:val="231F20"/>
        </w:rPr>
        <w:t>however</w:t>
      </w:r>
      <w:r w:rsidRPr="00040804">
        <w:rPr>
          <w:color w:val="231F20"/>
        </w:rPr>
        <w:t xml:space="preserve"> these services must be performed under the direct supervision of the qualified, in-network </w:t>
      </w:r>
      <w:r w:rsidR="00E250B8" w:rsidRPr="00040804">
        <w:rPr>
          <w:color w:val="231F20"/>
        </w:rPr>
        <w:t xml:space="preserve">licensed therapist. These services are billed by the therapist. </w:t>
      </w:r>
      <w:r w:rsidRPr="00040804">
        <w:rPr>
          <w:color w:val="231F20"/>
        </w:rPr>
        <w:t xml:space="preserve"> </w:t>
      </w:r>
      <w:r w:rsidR="00E250B8" w:rsidRPr="00040804">
        <w:rPr>
          <w:color w:val="231F20"/>
        </w:rPr>
        <w:t>Both the supervising therapist and therapy assistant must be respectively licensed or registered with their professional board th</w:t>
      </w:r>
      <w:r w:rsidR="007E7782" w:rsidRPr="00040804">
        <w:rPr>
          <w:color w:val="231F20"/>
        </w:rPr>
        <w:t>r</w:t>
      </w:r>
      <w:r w:rsidR="00E250B8" w:rsidRPr="00040804">
        <w:rPr>
          <w:color w:val="231F20"/>
        </w:rPr>
        <w:t>ough the Tennessee Department of Health.</w:t>
      </w:r>
      <w:r w:rsidR="00096F59" w:rsidRPr="0045637C">
        <w:rPr>
          <w:color w:val="231F20"/>
        </w:rPr>
        <w:t xml:space="preserve"> </w:t>
      </w:r>
      <w:proofErr w:type="spellStart"/>
      <w:r w:rsidR="00AB05F7" w:rsidRPr="004A40A4">
        <w:rPr>
          <w:bCs/>
          <w:lang w:val="en"/>
        </w:rPr>
        <w:t>TennCare</w:t>
      </w:r>
      <w:proofErr w:type="spellEnd"/>
      <w:r w:rsidR="000D51B5" w:rsidRPr="004A40A4">
        <w:rPr>
          <w:bCs/>
          <w:lang w:val="en"/>
        </w:rPr>
        <w:t xml:space="preserve"> </w:t>
      </w:r>
      <w:r w:rsidR="00AB05F7" w:rsidRPr="004A40A4">
        <w:rPr>
          <w:bCs/>
          <w:lang w:val="en"/>
        </w:rPr>
        <w:t xml:space="preserve">MCOs </w:t>
      </w:r>
      <w:r w:rsidR="00096F59" w:rsidRPr="004A40A4">
        <w:rPr>
          <w:bCs/>
          <w:lang w:val="en"/>
        </w:rPr>
        <w:t xml:space="preserve">define direct supervision as having the supervising therapist available and can be </w:t>
      </w:r>
      <w:r w:rsidR="00096F59" w:rsidRPr="004A40A4">
        <w:rPr>
          <w:bCs/>
          <w:iCs/>
          <w:lang w:val="en"/>
        </w:rPr>
        <w:t>reached by personal contact, phone, pager, or other immediate or electronic means.</w:t>
      </w:r>
    </w:p>
    <w:p w:rsidR="007C4631" w:rsidRPr="0045637C" w:rsidRDefault="007C4631" w:rsidP="007C4631">
      <w:pPr>
        <w:pStyle w:val="BodyText"/>
        <w:spacing w:before="65"/>
        <w:ind w:left="360"/>
        <w:rPr>
          <w:b/>
          <w:i/>
          <w:highlight w:val="yellow"/>
        </w:rPr>
      </w:pPr>
    </w:p>
    <w:p w:rsidR="007C4631" w:rsidRPr="00040804" w:rsidRDefault="00E250B8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 w:rsidRPr="00040804">
        <w:rPr>
          <w:b/>
          <w:i/>
        </w:rPr>
        <w:t>Can clinical fellows provide billable services?</w:t>
      </w:r>
    </w:p>
    <w:p w:rsidR="007C4631" w:rsidRPr="004A40A4" w:rsidRDefault="00E250B8" w:rsidP="007C4631">
      <w:pPr>
        <w:pStyle w:val="BodyText"/>
        <w:spacing w:before="65"/>
        <w:ind w:left="360"/>
        <w:rPr>
          <w:color w:val="231F20"/>
          <w:highlight w:val="yellow"/>
        </w:rPr>
      </w:pPr>
      <w:r w:rsidRPr="00040804">
        <w:rPr>
          <w:color w:val="231F20"/>
        </w:rPr>
        <w:t>Yes</w:t>
      </w:r>
      <w:r w:rsidRPr="00040804">
        <w:rPr>
          <w:i/>
        </w:rPr>
        <w:t xml:space="preserve">. </w:t>
      </w:r>
      <w:r w:rsidRPr="00040804">
        <w:t>However</w:t>
      </w:r>
      <w:r w:rsidR="0045637C">
        <w:t>,</w:t>
      </w:r>
      <w:r w:rsidRPr="00040804">
        <w:t xml:space="preserve"> these services must be performed under the direct supervision of the qualified, in-network licensed therapist. These services are billed by the therapist. Tennessee Code Titles 63 and 68 requires provisional license. M</w:t>
      </w:r>
      <w:r w:rsidR="00D6517E" w:rsidRPr="00040804">
        <w:t>anaged Care Organizations (MCOs)</w:t>
      </w:r>
      <w:r w:rsidRPr="00040804">
        <w:t xml:space="preserve"> are not recognizing provisional license.</w:t>
      </w:r>
      <w:r w:rsidR="00096F59" w:rsidRPr="0045637C">
        <w:t xml:space="preserve"> </w:t>
      </w:r>
      <w:proofErr w:type="spellStart"/>
      <w:r w:rsidR="00AB05F7" w:rsidRPr="004A40A4">
        <w:rPr>
          <w:bCs/>
          <w:lang w:val="en"/>
        </w:rPr>
        <w:t>TennCare</w:t>
      </w:r>
      <w:proofErr w:type="spellEnd"/>
      <w:r w:rsidR="00AB05F7" w:rsidRPr="004A40A4">
        <w:rPr>
          <w:bCs/>
          <w:lang w:val="en"/>
        </w:rPr>
        <w:t xml:space="preserve"> MCOs</w:t>
      </w:r>
      <w:r w:rsidR="00096F59" w:rsidRPr="004A40A4">
        <w:rPr>
          <w:bCs/>
          <w:lang w:val="en"/>
        </w:rPr>
        <w:t xml:space="preserve"> define direct supervision as having the supervising therapist available and can be </w:t>
      </w:r>
      <w:r w:rsidR="00096F59" w:rsidRPr="004A40A4">
        <w:rPr>
          <w:bCs/>
          <w:iCs/>
          <w:lang w:val="en"/>
        </w:rPr>
        <w:t>reached by personal contact, phone, pager, or other immediate or electronic means.</w:t>
      </w:r>
    </w:p>
    <w:p w:rsidR="007C4631" w:rsidRPr="0045637C" w:rsidRDefault="007C4631" w:rsidP="007C4631">
      <w:pPr>
        <w:pStyle w:val="BodyText"/>
        <w:spacing w:before="65"/>
        <w:ind w:left="360"/>
        <w:rPr>
          <w:b/>
          <w:i/>
          <w:highlight w:val="yellow"/>
        </w:rPr>
      </w:pPr>
    </w:p>
    <w:p w:rsidR="007C4631" w:rsidRPr="00040804" w:rsidRDefault="00D6517E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 w:rsidRPr="00040804">
        <w:rPr>
          <w:b/>
          <w:i/>
        </w:rPr>
        <w:t xml:space="preserve">What constitutes “under the supervision of a qualified, in-network licensed therapist”? </w:t>
      </w:r>
    </w:p>
    <w:p w:rsidR="00C11220" w:rsidRPr="004A40A4" w:rsidRDefault="00D6517E" w:rsidP="00C11220">
      <w:pPr>
        <w:rPr>
          <w:rFonts w:ascii="Calibri" w:hAnsi="Calibri"/>
          <w:bCs/>
          <w:lang w:val="en"/>
        </w:rPr>
      </w:pPr>
      <w:r w:rsidRPr="00040804">
        <w:t>The expectation is these services must be performed under the direct supervision of the qualified, in-network licensed therapist</w:t>
      </w:r>
      <w:r w:rsidR="00C11220" w:rsidRPr="0045637C">
        <w:t xml:space="preserve"> who supervises the therapy assistant</w:t>
      </w:r>
      <w:r w:rsidRPr="00040804">
        <w:t>. These services are only billed by the therapist</w:t>
      </w:r>
      <w:r w:rsidR="00040804">
        <w:t xml:space="preserve">.  </w:t>
      </w:r>
      <w:proofErr w:type="spellStart"/>
      <w:r w:rsidR="00AB05F7" w:rsidRPr="004A40A4">
        <w:rPr>
          <w:bCs/>
          <w:lang w:val="en"/>
        </w:rPr>
        <w:t>TennCare</w:t>
      </w:r>
      <w:proofErr w:type="spellEnd"/>
      <w:r w:rsidR="00AB05F7" w:rsidRPr="004A40A4">
        <w:rPr>
          <w:bCs/>
          <w:lang w:val="en"/>
        </w:rPr>
        <w:t xml:space="preserve"> MCOs</w:t>
      </w:r>
      <w:r w:rsidR="00C11220" w:rsidRPr="004A40A4">
        <w:rPr>
          <w:bCs/>
          <w:lang w:val="en"/>
        </w:rPr>
        <w:t xml:space="preserve"> define direct supervision as having the supervising therapist available and can be </w:t>
      </w:r>
      <w:r w:rsidR="00C11220" w:rsidRPr="004A40A4">
        <w:rPr>
          <w:bCs/>
          <w:iCs/>
          <w:lang w:val="en"/>
        </w:rPr>
        <w:t>reached by personal contact, phone, pager, or other immediate or electronic means.</w:t>
      </w:r>
    </w:p>
    <w:p w:rsidR="00D6517E" w:rsidRPr="00D6517E" w:rsidRDefault="00D6517E" w:rsidP="00D6517E">
      <w:pPr>
        <w:pStyle w:val="BodyText"/>
        <w:spacing w:before="65"/>
        <w:ind w:left="360"/>
      </w:pPr>
    </w:p>
    <w:p w:rsidR="007C4631" w:rsidRPr="007C4631" w:rsidRDefault="00C50233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>
        <w:rPr>
          <w:b/>
          <w:i/>
          <w:color w:val="231F20"/>
        </w:rPr>
        <w:t>Are consultation services listed within a student’s IEP billable?</w:t>
      </w:r>
    </w:p>
    <w:p w:rsidR="007C4631" w:rsidRDefault="00C50233" w:rsidP="007C4631">
      <w:pPr>
        <w:pStyle w:val="BodyText"/>
        <w:spacing w:before="65"/>
        <w:ind w:left="360"/>
        <w:rPr>
          <w:color w:val="231F20"/>
        </w:rPr>
      </w:pPr>
      <w:r>
        <w:rPr>
          <w:color w:val="231F20"/>
        </w:rPr>
        <w:t>No. If the student is not present, the MCO will not reimburse the provider. No office consultation codes should be billed for IEP services.</w:t>
      </w:r>
    </w:p>
    <w:p w:rsidR="007C4631" w:rsidRPr="007C4631" w:rsidRDefault="007C4631" w:rsidP="007C4631">
      <w:pPr>
        <w:pStyle w:val="BodyText"/>
        <w:spacing w:before="65"/>
        <w:ind w:left="360"/>
        <w:rPr>
          <w:color w:val="231F20"/>
        </w:rPr>
      </w:pPr>
    </w:p>
    <w:p w:rsidR="007C4631" w:rsidRPr="007C4631" w:rsidRDefault="00C50233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>
        <w:rPr>
          <w:b/>
          <w:i/>
          <w:color w:val="231F20"/>
        </w:rPr>
        <w:t xml:space="preserve">Can </w:t>
      </w:r>
      <w:r w:rsidR="0032436C">
        <w:rPr>
          <w:b/>
          <w:i/>
          <w:color w:val="231F20"/>
        </w:rPr>
        <w:t>therapy models such as speedy speech (short sessions delivered in frequent doses across a week) be billed?</w:t>
      </w:r>
      <w:r>
        <w:rPr>
          <w:b/>
          <w:i/>
          <w:color w:val="231F20"/>
        </w:rPr>
        <w:t xml:space="preserve"> </w:t>
      </w:r>
    </w:p>
    <w:p w:rsidR="007C4631" w:rsidRDefault="00C50233" w:rsidP="007C4631">
      <w:pPr>
        <w:pStyle w:val="BodyText"/>
        <w:spacing w:before="65"/>
        <w:ind w:left="360"/>
        <w:rPr>
          <w:color w:val="231F20"/>
        </w:rPr>
      </w:pPr>
      <w:r>
        <w:rPr>
          <w:color w:val="231F20"/>
        </w:rPr>
        <w:t xml:space="preserve">Yes. </w:t>
      </w:r>
      <w:r w:rsidR="0032436C">
        <w:rPr>
          <w:color w:val="231F20"/>
        </w:rPr>
        <w:t>However, in order to bill for these services current</w:t>
      </w:r>
      <w:r w:rsidR="0045637C">
        <w:rPr>
          <w:color w:val="231F20"/>
        </w:rPr>
        <w:t>,</w:t>
      </w:r>
      <w:r w:rsidR="0032436C">
        <w:rPr>
          <w:color w:val="231F20"/>
        </w:rPr>
        <w:t xml:space="preserve"> guidelines require the services to be provided in a minimum of </w:t>
      </w:r>
      <w:r w:rsidR="0045637C">
        <w:rPr>
          <w:color w:val="231F20"/>
        </w:rPr>
        <w:t>15-minute</w:t>
      </w:r>
      <w:r w:rsidR="0032436C">
        <w:rPr>
          <w:color w:val="231F20"/>
        </w:rPr>
        <w:t xml:space="preserve"> increments.</w:t>
      </w:r>
      <w:r w:rsidR="007C4631">
        <w:rPr>
          <w:color w:val="231F20"/>
        </w:rPr>
        <w:br/>
      </w:r>
    </w:p>
    <w:p w:rsidR="007C4631" w:rsidRPr="007C4631" w:rsidRDefault="0032436C" w:rsidP="007C4631">
      <w:pPr>
        <w:pStyle w:val="BodyText"/>
        <w:numPr>
          <w:ilvl w:val="0"/>
          <w:numId w:val="1"/>
        </w:numPr>
        <w:spacing w:before="65"/>
        <w:rPr>
          <w:b/>
          <w:i/>
        </w:rPr>
      </w:pPr>
      <w:r>
        <w:rPr>
          <w:b/>
          <w:i/>
          <w:color w:val="231F20"/>
        </w:rPr>
        <w:t xml:space="preserve">How do I document therapy that addresses both speech and language goals in the same session? </w:t>
      </w:r>
    </w:p>
    <w:p w:rsidR="007C4631" w:rsidRDefault="0032436C" w:rsidP="007C4631">
      <w:pPr>
        <w:pStyle w:val="BodyText"/>
        <w:spacing w:before="65"/>
        <w:ind w:left="360"/>
        <w:rPr>
          <w:color w:val="231F20"/>
        </w:rPr>
      </w:pPr>
      <w:r>
        <w:rPr>
          <w:color w:val="231F20"/>
        </w:rPr>
        <w:t xml:space="preserve">The provider should bill for the number of minutes per session for each therapy area; however current guidelines require the services to be provided in a minimum of </w:t>
      </w:r>
      <w:r w:rsidR="0045637C">
        <w:rPr>
          <w:color w:val="231F20"/>
        </w:rPr>
        <w:t>15-minute</w:t>
      </w:r>
      <w:r>
        <w:rPr>
          <w:color w:val="231F20"/>
        </w:rPr>
        <w:t xml:space="preserve"> increments.</w:t>
      </w:r>
      <w:r>
        <w:rPr>
          <w:color w:val="231F20"/>
        </w:rPr>
        <w:br/>
      </w:r>
    </w:p>
    <w:p w:rsidR="00425C99" w:rsidRPr="00E24297" w:rsidRDefault="00425C99" w:rsidP="00E24297">
      <w:pPr>
        <w:pStyle w:val="BodyText"/>
        <w:spacing w:before="65"/>
        <w:rPr>
          <w:b/>
          <w:i/>
        </w:rPr>
      </w:pPr>
    </w:p>
    <w:p w:rsidR="009237FE" w:rsidRDefault="009237FE" w:rsidP="007C4631">
      <w:pPr>
        <w:pStyle w:val="BodyText"/>
      </w:pPr>
    </w:p>
    <w:p w:rsidR="009237FE" w:rsidRDefault="009237FE" w:rsidP="007C4631">
      <w:pPr>
        <w:pStyle w:val="BodyText"/>
      </w:pPr>
    </w:p>
    <w:p w:rsidR="009237FE" w:rsidRPr="007C4631" w:rsidRDefault="009237FE" w:rsidP="007C4631">
      <w:pPr>
        <w:pStyle w:val="BodyText"/>
      </w:pPr>
    </w:p>
    <w:sectPr w:rsidR="009237FE" w:rsidRPr="007C4631" w:rsidSect="00E4000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720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B2" w:rsidRDefault="00BC22B2" w:rsidP="0089763D">
      <w:r>
        <w:separator/>
      </w:r>
    </w:p>
  </w:endnote>
  <w:endnote w:type="continuationSeparator" w:id="0">
    <w:p w:rsidR="00BC22B2" w:rsidRDefault="00BC22B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5" w:rsidRDefault="000D1555" w:rsidP="000D1555">
    <w:pPr>
      <w:spacing w:before="59" w:line="216" w:lineRule="exact"/>
      <w:ind w:right="-49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75A37C" wp14:editId="140D9388">
              <wp:simplePos x="0" y="0"/>
              <wp:positionH relativeFrom="column">
                <wp:posOffset>3810</wp:posOffset>
              </wp:positionH>
              <wp:positionV relativeFrom="paragraph">
                <wp:posOffset>59426</wp:posOffset>
              </wp:positionV>
              <wp:extent cx="6517758" cy="127590"/>
              <wp:effectExtent l="0" t="0" r="16510" b="0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17758" cy="127590"/>
                        <a:chOff x="0" y="0"/>
                        <a:chExt cx="8851" cy="10"/>
                      </a:xfrm>
                    </wpg:grpSpPr>
                    <wpg:grpSp>
                      <wpg:cNvPr id="2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64D553F" id="Group 1" o:spid="_x0000_s1026" style="position:absolute;margin-left:.3pt;margin-top:4.7pt;width:513.2pt;height:10.05pt;flip:y;z-index:251663360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" path="m,l8841,e" filled="f" strokecolor="#d90030" strokeweight=".5pt">
                  <v:path arrowok="t" o:connecttype="custom" o:connectlocs="0,0;8841,0" o:connectangles="0,0"/>
                </v:shape>
              </v:group>
            </v:group>
          </w:pict>
        </mc:Fallback>
      </mc:AlternateContent>
    </w:r>
  </w:p>
  <w:p w:rsidR="000D1555" w:rsidRPr="004313EE" w:rsidRDefault="000D1555" w:rsidP="000D1555">
    <w:pPr>
      <w:spacing w:before="59" w:line="216" w:lineRule="exact"/>
      <w:ind w:right="-90"/>
      <w:jc w:val="righ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 w:rsidRPr="00AA7306">
      <w:rPr>
        <w:rFonts w:eastAsia="Open Sans" w:cs="Open Sans"/>
        <w:color w:val="7E7578"/>
        <w:sz w:val="18"/>
        <w:szCs w:val="18"/>
      </w:rPr>
      <w:fldChar w:fldCharType="begin"/>
    </w:r>
    <w:r w:rsidRPr="00AA7306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Pr="00AA7306">
      <w:rPr>
        <w:rFonts w:eastAsia="Open Sans" w:cs="Open Sans"/>
        <w:color w:val="7E7578"/>
        <w:sz w:val="18"/>
        <w:szCs w:val="18"/>
      </w:rPr>
      <w:fldChar w:fldCharType="separate"/>
    </w:r>
    <w:r w:rsidR="004A40A4">
      <w:rPr>
        <w:rFonts w:eastAsia="Open Sans" w:cs="Open Sans"/>
        <w:noProof/>
        <w:color w:val="7E7578"/>
        <w:sz w:val="18"/>
        <w:szCs w:val="18"/>
      </w:rPr>
      <w:t>2</w:t>
    </w:r>
    <w:r w:rsidRPr="00AA7306">
      <w:rPr>
        <w:rFonts w:eastAsia="Open Sans" w:cs="Open Sans"/>
        <w:noProof/>
        <w:color w:val="7E7578"/>
        <w:sz w:val="18"/>
        <w:szCs w:val="18"/>
      </w:rPr>
      <w:fldChar w:fldCharType="end"/>
    </w:r>
    <w:r>
      <w:rPr>
        <w:rFonts w:eastAsia="Open Sans" w:cs="Open Sans"/>
        <w:noProof/>
        <w:color w:val="7E7578"/>
        <w:sz w:val="18"/>
        <w:szCs w:val="18"/>
      </w:rPr>
      <w:t xml:space="preserve"> | </w:t>
    </w:r>
    <w:r w:rsidR="0045637C">
      <w:rPr>
        <w:rFonts w:eastAsia="Open Sans" w:cs="Open Sans"/>
        <w:noProof/>
        <w:color w:val="7E7578"/>
        <w:sz w:val="18"/>
        <w:szCs w:val="18"/>
      </w:rPr>
      <w:t>1/17/2020</w:t>
    </w:r>
    <w:r>
      <w:rPr>
        <w:rFonts w:eastAsia="Open Sans" w:cs="Open Sans"/>
        <w:noProof/>
        <w:color w:val="7E7578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5" w:rsidRDefault="000D1555" w:rsidP="009237FE">
    <w:pPr>
      <w:spacing w:before="59" w:line="216" w:lineRule="exact"/>
      <w:ind w:right="-49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1B0F5C" wp14:editId="1B28F49F">
              <wp:simplePos x="0" y="0"/>
              <wp:positionH relativeFrom="column">
                <wp:posOffset>3810</wp:posOffset>
              </wp:positionH>
              <wp:positionV relativeFrom="paragraph">
                <wp:posOffset>59426</wp:posOffset>
              </wp:positionV>
              <wp:extent cx="6517758" cy="127590"/>
              <wp:effectExtent l="0" t="0" r="16510" b="0"/>
              <wp:wrapNone/>
              <wp:docPr id="1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17758" cy="127590"/>
                        <a:chOff x="0" y="0"/>
                        <a:chExt cx="8851" cy="10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2A2252A" id="Group 1" o:spid="_x0000_s1026" style="position:absolute;margin-left:.3pt;margin-top:4.7pt;width:513.2pt;height:10.05pt;flip:y;z-index:251661312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" path="m,l8841,e" filled="f" strokecolor="#d90030" strokeweight=".5pt">
                  <v:path arrowok="t" o:connecttype="custom" o:connectlocs="0,0;8841,0" o:connectangles="0,0"/>
                </v:shape>
              </v:group>
            </v:group>
          </w:pict>
        </mc:Fallback>
      </mc:AlternateContent>
    </w:r>
  </w:p>
  <w:p w:rsidR="000D1555" w:rsidRPr="004313EE" w:rsidRDefault="00E40005" w:rsidP="000D1555">
    <w:pPr>
      <w:spacing w:before="59" w:line="216" w:lineRule="exact"/>
      <w:ind w:right="-27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  <w:t xml:space="preserve"> </w:t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  <w:t xml:space="preserve">  </w:t>
    </w:r>
    <w:r w:rsidR="000D1555">
      <w:rPr>
        <w:rFonts w:eastAsia="Open Sans" w:cs="Open Sans"/>
        <w:color w:val="7E7578"/>
        <w:sz w:val="18"/>
        <w:szCs w:val="18"/>
      </w:rPr>
      <w:tab/>
    </w:r>
    <w:r w:rsidR="000D1555">
      <w:rPr>
        <w:rFonts w:eastAsia="Open Sans" w:cs="Open Sans"/>
        <w:color w:val="7E7578"/>
        <w:sz w:val="18"/>
        <w:szCs w:val="18"/>
      </w:rPr>
      <w:tab/>
      <w:t xml:space="preserve">                </w:t>
    </w:r>
    <w:r w:rsidR="000D1555" w:rsidRPr="00AA7306">
      <w:rPr>
        <w:rFonts w:eastAsia="Open Sans" w:cs="Open Sans"/>
        <w:color w:val="7E7578"/>
        <w:sz w:val="18"/>
        <w:szCs w:val="18"/>
      </w:rPr>
      <w:fldChar w:fldCharType="begin"/>
    </w:r>
    <w:r w:rsidR="000D1555" w:rsidRPr="00AA7306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="000D1555" w:rsidRPr="00AA7306">
      <w:rPr>
        <w:rFonts w:eastAsia="Open Sans" w:cs="Open Sans"/>
        <w:color w:val="7E7578"/>
        <w:sz w:val="18"/>
        <w:szCs w:val="18"/>
      </w:rPr>
      <w:fldChar w:fldCharType="separate"/>
    </w:r>
    <w:r>
      <w:rPr>
        <w:rFonts w:eastAsia="Open Sans" w:cs="Open Sans"/>
        <w:noProof/>
        <w:color w:val="7E7578"/>
        <w:sz w:val="18"/>
        <w:szCs w:val="18"/>
      </w:rPr>
      <w:t>1</w:t>
    </w:r>
    <w:r w:rsidR="000D1555" w:rsidRPr="00AA7306">
      <w:rPr>
        <w:rFonts w:eastAsia="Open Sans" w:cs="Open Sans"/>
        <w:noProof/>
        <w:color w:val="7E7578"/>
        <w:sz w:val="18"/>
        <w:szCs w:val="18"/>
      </w:rPr>
      <w:fldChar w:fldCharType="end"/>
    </w:r>
    <w:r w:rsidR="000D1555">
      <w:rPr>
        <w:rFonts w:eastAsia="Open Sans" w:cs="Open Sans"/>
        <w:noProof/>
        <w:color w:val="7E7578"/>
        <w:sz w:val="18"/>
        <w:szCs w:val="18"/>
      </w:rPr>
      <w:t xml:space="preserve"> | Date Created or Revised </w:t>
    </w:r>
  </w:p>
  <w:p w:rsidR="000D1555" w:rsidRDefault="000D1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B2" w:rsidRDefault="00BC22B2" w:rsidP="0089763D">
      <w:r>
        <w:separator/>
      </w:r>
    </w:p>
  </w:footnote>
  <w:footnote w:type="continuationSeparator" w:id="0">
    <w:p w:rsidR="00BC22B2" w:rsidRDefault="00BC22B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5" w:rsidRDefault="00E40005">
    <w:pPr>
      <w:pStyle w:val="Header"/>
    </w:pPr>
    <w:r>
      <w:rPr>
        <w:noProof/>
      </w:rPr>
      <w:drawing>
        <wp:inline distT="0" distB="0" distL="0" distR="0" wp14:anchorId="78A9D33B" wp14:editId="26196CF4">
          <wp:extent cx="1268083" cy="501568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5" cy="50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555" w:rsidRDefault="000D1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5" w:rsidRDefault="000D15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186D2" wp14:editId="51FE0B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5" name="Picture 45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E"/>
    <w:rsid w:val="00002872"/>
    <w:rsid w:val="000232C5"/>
    <w:rsid w:val="00023535"/>
    <w:rsid w:val="00025247"/>
    <w:rsid w:val="00040804"/>
    <w:rsid w:val="00082119"/>
    <w:rsid w:val="00082277"/>
    <w:rsid w:val="000827FD"/>
    <w:rsid w:val="00096F59"/>
    <w:rsid w:val="000D1555"/>
    <w:rsid w:val="000D51B5"/>
    <w:rsid w:val="0012065C"/>
    <w:rsid w:val="0013268C"/>
    <w:rsid w:val="00134746"/>
    <w:rsid w:val="00196C53"/>
    <w:rsid w:val="001A51A2"/>
    <w:rsid w:val="001A7167"/>
    <w:rsid w:val="001C73A7"/>
    <w:rsid w:val="0020655E"/>
    <w:rsid w:val="00264B15"/>
    <w:rsid w:val="002D1819"/>
    <w:rsid w:val="00321ACF"/>
    <w:rsid w:val="0032436C"/>
    <w:rsid w:val="00335EA4"/>
    <w:rsid w:val="00364BE0"/>
    <w:rsid w:val="00425C99"/>
    <w:rsid w:val="004313EE"/>
    <w:rsid w:val="00434AB2"/>
    <w:rsid w:val="0045637C"/>
    <w:rsid w:val="004A40A4"/>
    <w:rsid w:val="0052607E"/>
    <w:rsid w:val="005616B1"/>
    <w:rsid w:val="005F2CD4"/>
    <w:rsid w:val="006E6045"/>
    <w:rsid w:val="00752F2E"/>
    <w:rsid w:val="007B147D"/>
    <w:rsid w:val="007B24DD"/>
    <w:rsid w:val="007C4631"/>
    <w:rsid w:val="007C49D6"/>
    <w:rsid w:val="007D74E7"/>
    <w:rsid w:val="007E7782"/>
    <w:rsid w:val="00802646"/>
    <w:rsid w:val="00845EBF"/>
    <w:rsid w:val="008613E2"/>
    <w:rsid w:val="0089763D"/>
    <w:rsid w:val="008B4FC9"/>
    <w:rsid w:val="008D122E"/>
    <w:rsid w:val="0091598C"/>
    <w:rsid w:val="00920126"/>
    <w:rsid w:val="009237FE"/>
    <w:rsid w:val="009264E5"/>
    <w:rsid w:val="00986338"/>
    <w:rsid w:val="009958F5"/>
    <w:rsid w:val="00A17334"/>
    <w:rsid w:val="00A27DB4"/>
    <w:rsid w:val="00A5084A"/>
    <w:rsid w:val="00AA7306"/>
    <w:rsid w:val="00AB05F7"/>
    <w:rsid w:val="00B10098"/>
    <w:rsid w:val="00B42A63"/>
    <w:rsid w:val="00B75AC3"/>
    <w:rsid w:val="00B90D1E"/>
    <w:rsid w:val="00BC22B2"/>
    <w:rsid w:val="00C04B7F"/>
    <w:rsid w:val="00C11220"/>
    <w:rsid w:val="00C167B3"/>
    <w:rsid w:val="00C50233"/>
    <w:rsid w:val="00D2342B"/>
    <w:rsid w:val="00D32F96"/>
    <w:rsid w:val="00D6517E"/>
    <w:rsid w:val="00D74652"/>
    <w:rsid w:val="00D74BD9"/>
    <w:rsid w:val="00DC1717"/>
    <w:rsid w:val="00E24297"/>
    <w:rsid w:val="00E250B8"/>
    <w:rsid w:val="00E40005"/>
    <w:rsid w:val="00E96F29"/>
    <w:rsid w:val="00F10769"/>
    <w:rsid w:val="00F4799C"/>
    <w:rsid w:val="00F51102"/>
    <w:rsid w:val="00F7609C"/>
    <w:rsid w:val="00F808CC"/>
    <w:rsid w:val="00FC494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62E61-E051-46F9-8D56-1404605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C4631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631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808080" w:themeColor="text1" w:themeTint="7F"/>
    </w:rPr>
  </w:style>
  <w:style w:type="paragraph" w:styleId="NoSpacing">
    <w:name w:val="No Spacing"/>
    <w:uiPriority w:val="1"/>
    <w:rsid w:val="00082277"/>
    <w:rPr>
      <w:rFonts w:ascii="Open Sans" w:hAnsi="Open San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0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05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400\Downloads\FAQ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E7C1F6A3F164EBA965134BB494F4B" ma:contentTypeVersion="1" ma:contentTypeDescription="Create a new document." ma:contentTypeScope="" ma:versionID="e734d573456202bae84eca98f771ca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a0cf6c0341588e7e86660e1c5f00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14C8-D643-4C1F-9AC9-D6304512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B7CB3-5D24-406A-A2AE-FD2475104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39C5A-CD55-40FC-9321-CD4CA431E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8B97D-231F-454D-902E-070BACCD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FAQ-Template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subject/>
  <dc:creator>Susan Usery</dc:creator>
  <cp:keywords/>
  <dc:description/>
  <cp:lastModifiedBy>Susan Usery</cp:lastModifiedBy>
  <cp:revision>3</cp:revision>
  <cp:lastPrinted>2015-04-20T20:24:00Z</cp:lastPrinted>
  <dcterms:created xsi:type="dcterms:W3CDTF">2020-01-21T14:33:00Z</dcterms:created>
  <dcterms:modified xsi:type="dcterms:W3CDTF">2020-01-22T20:18:00Z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0x0101006C9E7C1F6A3F164EBA965134BB494F4B</vt:lpwstr>
  </property>
</Properties>
</file>