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FF" w:rsidRDefault="000C60D1" w:rsidP="003215FF">
      <w:pPr>
        <w:jc w:val="center"/>
        <w:rPr>
          <w:b/>
        </w:rPr>
      </w:pPr>
      <w:r>
        <w:rPr>
          <w:b/>
        </w:rPr>
        <w:t xml:space="preserve">2014-15 </w:t>
      </w:r>
      <w:r w:rsidR="007B500D" w:rsidRPr="0059076A">
        <w:rPr>
          <w:b/>
        </w:rPr>
        <w:t xml:space="preserve">Differentiated Pay Plan Submission </w:t>
      </w:r>
      <w:proofErr w:type="gramStart"/>
      <w:r w:rsidR="00041CA9">
        <w:rPr>
          <w:b/>
        </w:rPr>
        <w:t>Template</w:t>
      </w:r>
      <w:proofErr w:type="gramEnd"/>
      <w:r w:rsidR="00041CA9">
        <w:rPr>
          <w:b/>
        </w:rPr>
        <w:t xml:space="preserve"> </w:t>
      </w:r>
      <w:r w:rsidR="007B500D" w:rsidRPr="0059076A">
        <w:rPr>
          <w:b/>
        </w:rPr>
        <w:br/>
      </w:r>
    </w:p>
    <w:p w:rsidR="00D22685" w:rsidRDefault="00316E02" w:rsidP="00316E02">
      <w:r>
        <w:t>In June 2013, the State Board of Education passed a r</w:t>
      </w:r>
      <w:r w:rsidR="00CE009D">
        <w:t xml:space="preserve">evised set of guidelines </w:t>
      </w:r>
      <w:r w:rsidR="00FE5077">
        <w:t xml:space="preserve">pursuant to </w:t>
      </w:r>
      <w:r w:rsidR="00CE009D">
        <w:t>T</w:t>
      </w:r>
      <w:r w:rsidR="00FE5077">
        <w:t>enn. Code Ann. §</w:t>
      </w:r>
      <w:r w:rsidR="00CE009D">
        <w:t>49-3-306(h)</w:t>
      </w:r>
      <w:r w:rsidR="00FE5077">
        <w:t>,</w:t>
      </w:r>
      <w:r w:rsidR="00CE009D">
        <w:t xml:space="preserve"> which</w:t>
      </w:r>
      <w:r>
        <w:t xml:space="preserve"> requires districts to cr</w:t>
      </w:r>
      <w:r w:rsidR="00537BB2">
        <w:t xml:space="preserve">eate </w:t>
      </w:r>
      <w:r w:rsidR="00022298">
        <w:t xml:space="preserve">and implement </w:t>
      </w:r>
      <w:r>
        <w:t>differentiated pay plans. The intent of</w:t>
      </w:r>
      <w:r w:rsidR="00CE009D">
        <w:t xml:space="preserve"> the</w:t>
      </w:r>
      <w:r>
        <w:t xml:space="preserve"> differentiated pay plans is to </w:t>
      </w:r>
      <w:r w:rsidR="00022298">
        <w:t xml:space="preserve">give local control to districts in regard to salary schedule, and to </w:t>
      </w:r>
      <w:r>
        <w:t>create another</w:t>
      </w:r>
      <w:r w:rsidRPr="00BE6A8E">
        <w:t xml:space="preserve"> lever for districts to attract and retain t</w:t>
      </w:r>
      <w:r w:rsidR="00022298">
        <w:t>eachers based on a flexible set of potential criteria</w:t>
      </w:r>
      <w:r w:rsidRPr="00BE6A8E">
        <w:t>.</w:t>
      </w:r>
      <w:r>
        <w:t xml:space="preserve">  A complete copy of the policy can be found </w:t>
      </w:r>
      <w:hyperlink r:id="rId9" w:history="1">
        <w:r w:rsidRPr="00316E02">
          <w:rPr>
            <w:rStyle w:val="Hyperlink"/>
          </w:rPr>
          <w:t>here</w:t>
        </w:r>
      </w:hyperlink>
      <w:r>
        <w:t xml:space="preserve">. </w:t>
      </w:r>
      <w:r w:rsidR="00D22685">
        <w:t xml:space="preserve">  </w:t>
      </w:r>
    </w:p>
    <w:p w:rsidR="00E70923" w:rsidRPr="00E70923" w:rsidRDefault="00E70923" w:rsidP="00316E02">
      <w:pPr>
        <w:rPr>
          <w:b/>
        </w:rPr>
      </w:pPr>
      <w:r w:rsidRPr="00E70923">
        <w:rPr>
          <w:b/>
        </w:rPr>
        <w:t xml:space="preserve">Structure of this Document </w:t>
      </w:r>
    </w:p>
    <w:p w:rsidR="00D22685" w:rsidRPr="00316269" w:rsidRDefault="00E70923" w:rsidP="00316E02">
      <w:r>
        <w:t xml:space="preserve">The document includes two required sections where districts will describe their proposed 2014-15 differentiated pay plans and salary schedules.   </w:t>
      </w:r>
      <w:r w:rsidR="00DD29C6">
        <w:t>An optional section is</w:t>
      </w:r>
      <w:r>
        <w:t xml:space="preserve"> also included on stakeholder engagement and eligibility</w:t>
      </w:r>
      <w:r w:rsidR="00DD29C6">
        <w:t>. Finally, districts that choose to</w:t>
      </w:r>
      <w:r>
        <w:t xml:space="preserve"> </w:t>
      </w:r>
      <w:r w:rsidR="00DD29C6">
        <w:t>propose</w:t>
      </w:r>
      <w:r>
        <w:t xml:space="preserve"> an </w:t>
      </w:r>
      <w:hyperlink w:anchor="Alternative" w:history="1">
        <w:r w:rsidRPr="00E70923">
          <w:rPr>
            <w:rStyle w:val="Hyperlink"/>
          </w:rPr>
          <w:t>alternative salary schedule</w:t>
        </w:r>
      </w:hyperlink>
      <w:r>
        <w:t xml:space="preserve"> as their differentiated pay plan, or part of their plan, will </w:t>
      </w:r>
      <w:r w:rsidR="00DD29C6">
        <w:t xml:space="preserve">need to </w:t>
      </w:r>
      <w:r>
        <w:t xml:space="preserve">complete a short </w:t>
      </w:r>
      <w:hyperlink w:anchor="alt_addendum" w:history="1">
        <w:r w:rsidRPr="000F464A">
          <w:rPr>
            <w:rStyle w:val="Hyperlink"/>
          </w:rPr>
          <w:t>addendum</w:t>
        </w:r>
      </w:hyperlink>
      <w:r>
        <w:t xml:space="preserve">. </w:t>
      </w:r>
      <w:r w:rsidR="00DD29C6">
        <w:t>A list of</w:t>
      </w:r>
      <w:r>
        <w:t xml:space="preserve"> </w:t>
      </w:r>
      <w:r w:rsidR="00DD29C6">
        <w:t xml:space="preserve">the </w:t>
      </w:r>
      <w:r>
        <w:t>common differentiated pay terms used throughout this document</w:t>
      </w:r>
      <w:r w:rsidR="00DD29C6">
        <w:t xml:space="preserve"> can be found in </w:t>
      </w:r>
      <w:hyperlink w:anchor="appendix_a" w:history="1">
        <w:r w:rsidR="00DD29C6" w:rsidRPr="00D22685">
          <w:rPr>
            <w:rStyle w:val="Hyperlink"/>
          </w:rPr>
          <w:t>Appendix A</w:t>
        </w:r>
      </w:hyperlink>
      <w:r>
        <w:t xml:space="preserve">. </w:t>
      </w:r>
    </w:p>
    <w:p w:rsidR="00915CEB" w:rsidRDefault="00915CEB" w:rsidP="006C6ECC">
      <w:r>
        <w:rPr>
          <w:b/>
        </w:rPr>
        <w:t>Timeline</w:t>
      </w:r>
    </w:p>
    <w:p w:rsidR="00915CEB" w:rsidRDefault="00BD12F8" w:rsidP="006C6ECC">
      <w:r>
        <w:t xml:space="preserve">The department has created a flexible timeline for differentiated pay plan submission </w:t>
      </w:r>
      <w:r w:rsidR="00CE009D">
        <w:t>to better</w:t>
      </w:r>
      <w:r>
        <w:t xml:space="preserve"> meet the various </w:t>
      </w:r>
      <w:r w:rsidR="00CE009D">
        <w:t xml:space="preserve">deadlines of each district’s </w:t>
      </w:r>
      <w:r>
        <w:t>l</w:t>
      </w:r>
      <w:r w:rsidR="00C31018">
        <w:t>ocal school board and budget process</w:t>
      </w:r>
      <w:r w:rsidR="009879A9">
        <w:t>es</w:t>
      </w:r>
      <w:r>
        <w:t>.  The table below outlines this timeline: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7236"/>
      </w:tblGrid>
      <w:tr w:rsidR="00D86817" w:rsidTr="00FD631A">
        <w:trPr>
          <w:jc w:val="center"/>
        </w:trPr>
        <w:tc>
          <w:tcPr>
            <w:tcW w:w="9774" w:type="dxa"/>
            <w:gridSpan w:val="2"/>
          </w:tcPr>
          <w:p w:rsidR="00D86817" w:rsidRPr="00D86817" w:rsidRDefault="00D86817" w:rsidP="00D86817">
            <w:pPr>
              <w:jc w:val="center"/>
              <w:rPr>
                <w:b/>
              </w:rPr>
            </w:pPr>
            <w:r w:rsidRPr="00D86817">
              <w:rPr>
                <w:b/>
              </w:rPr>
              <w:t>General Differentiated Pay Plan Submission Timeline</w:t>
            </w:r>
          </w:p>
        </w:tc>
      </w:tr>
      <w:tr w:rsidR="00D22685" w:rsidTr="00BD12F8">
        <w:trPr>
          <w:jc w:val="center"/>
        </w:trPr>
        <w:tc>
          <w:tcPr>
            <w:tcW w:w="2538" w:type="dxa"/>
          </w:tcPr>
          <w:p w:rsidR="00D22685" w:rsidRPr="00D22685" w:rsidRDefault="00D22685" w:rsidP="008C4260">
            <w:r w:rsidRPr="00D22685">
              <w:t>Prior to submission</w:t>
            </w:r>
          </w:p>
        </w:tc>
        <w:tc>
          <w:tcPr>
            <w:tcW w:w="7236" w:type="dxa"/>
          </w:tcPr>
          <w:p w:rsidR="00D22685" w:rsidRPr="00D22685" w:rsidRDefault="00D22685" w:rsidP="008C4260">
            <w:r w:rsidRPr="00D22685">
              <w:t xml:space="preserve">Local school boards are informed of and/or approve differentiated pay plans that will be submitted to TDOE </w:t>
            </w:r>
          </w:p>
        </w:tc>
      </w:tr>
      <w:tr w:rsidR="00BD12F8" w:rsidTr="00BD12F8">
        <w:trPr>
          <w:jc w:val="center"/>
        </w:trPr>
        <w:tc>
          <w:tcPr>
            <w:tcW w:w="2538" w:type="dxa"/>
          </w:tcPr>
          <w:p w:rsidR="00BD12F8" w:rsidRDefault="00BD12F8" w:rsidP="00CF3E88">
            <w:r>
              <w:t>Jan</w:t>
            </w:r>
            <w:r w:rsidR="00341C79">
              <w:t>.</w:t>
            </w:r>
            <w:r>
              <w:t xml:space="preserve"> </w:t>
            </w:r>
            <w:r w:rsidR="00CF3E88">
              <w:t>2</w:t>
            </w:r>
            <w:r>
              <w:t>, 2014</w:t>
            </w:r>
          </w:p>
        </w:tc>
        <w:tc>
          <w:tcPr>
            <w:tcW w:w="7236" w:type="dxa"/>
          </w:tcPr>
          <w:p w:rsidR="00BD12F8" w:rsidRDefault="00BD12F8" w:rsidP="00C03FE6">
            <w:r>
              <w:t>TDOE begins accepting differentiated pay plan submissions</w:t>
            </w:r>
          </w:p>
        </w:tc>
      </w:tr>
      <w:tr w:rsidR="00BD12F8" w:rsidTr="00BD12F8">
        <w:trPr>
          <w:jc w:val="center"/>
        </w:trPr>
        <w:tc>
          <w:tcPr>
            <w:tcW w:w="2538" w:type="dxa"/>
          </w:tcPr>
          <w:p w:rsidR="00BD12F8" w:rsidRDefault="00BD12F8" w:rsidP="00C03FE6">
            <w:r>
              <w:t>Ongoing</w:t>
            </w:r>
          </w:p>
        </w:tc>
        <w:tc>
          <w:tcPr>
            <w:tcW w:w="7236" w:type="dxa"/>
          </w:tcPr>
          <w:p w:rsidR="00BD12F8" w:rsidRDefault="00BD12F8" w:rsidP="00C03FE6">
            <w:r>
              <w:t>Districts submit differentiated pay plans</w:t>
            </w:r>
            <w:r w:rsidR="00D86817">
              <w:t xml:space="preserve"> to TDOE</w:t>
            </w:r>
          </w:p>
        </w:tc>
      </w:tr>
      <w:tr w:rsidR="00BD12F8" w:rsidTr="00BD12F8">
        <w:trPr>
          <w:jc w:val="center"/>
        </w:trPr>
        <w:tc>
          <w:tcPr>
            <w:tcW w:w="2538" w:type="dxa"/>
          </w:tcPr>
          <w:p w:rsidR="00BD12F8" w:rsidRDefault="00BD12F8" w:rsidP="00C31018">
            <w:r>
              <w:t xml:space="preserve">Three weeks after date of submission  </w:t>
            </w:r>
          </w:p>
        </w:tc>
        <w:tc>
          <w:tcPr>
            <w:tcW w:w="7236" w:type="dxa"/>
          </w:tcPr>
          <w:p w:rsidR="00BD12F8" w:rsidRDefault="00BD12F8" w:rsidP="00BD12F8">
            <w:r>
              <w:t>TDOE communicates approval decision to school districts</w:t>
            </w:r>
          </w:p>
        </w:tc>
      </w:tr>
      <w:tr w:rsidR="00BD12F8" w:rsidTr="00BD12F8">
        <w:trPr>
          <w:jc w:val="center"/>
        </w:trPr>
        <w:tc>
          <w:tcPr>
            <w:tcW w:w="2538" w:type="dxa"/>
          </w:tcPr>
          <w:p w:rsidR="00BD12F8" w:rsidRPr="00D22685" w:rsidRDefault="00BD12F8" w:rsidP="00C03FE6">
            <w:r w:rsidRPr="00D22685">
              <w:t>Following TDOE approval notification but no later than June 30, 2014</w:t>
            </w:r>
          </w:p>
        </w:tc>
        <w:tc>
          <w:tcPr>
            <w:tcW w:w="7236" w:type="dxa"/>
          </w:tcPr>
          <w:p w:rsidR="00BD12F8" w:rsidRPr="00D22685" w:rsidRDefault="00BD12F8" w:rsidP="00C03FE6">
            <w:r w:rsidRPr="00D22685">
              <w:t>Local school board</w:t>
            </w:r>
            <w:r w:rsidR="00C31018" w:rsidRPr="00D22685">
              <w:t>s approve</w:t>
            </w:r>
            <w:r w:rsidRPr="00D22685">
              <w:t xml:space="preserve"> final differentiated pay plan</w:t>
            </w:r>
            <w:r w:rsidR="00C31018" w:rsidRPr="00D22685">
              <w:t>s</w:t>
            </w:r>
            <w:r w:rsidRPr="00D22685">
              <w:t xml:space="preserve"> and any associated budget items </w:t>
            </w:r>
          </w:p>
        </w:tc>
      </w:tr>
    </w:tbl>
    <w:p w:rsidR="00BD12F8" w:rsidRDefault="00BD12F8" w:rsidP="006C6ECC"/>
    <w:p w:rsidR="000F464A" w:rsidRDefault="000F464A" w:rsidP="006C6ECC"/>
    <w:p w:rsidR="000F464A" w:rsidRDefault="000F464A" w:rsidP="006C6ECC"/>
    <w:p w:rsidR="000F464A" w:rsidRDefault="000F464A" w:rsidP="006C6ECC"/>
    <w:p w:rsidR="00D86817" w:rsidRDefault="00BD12F8" w:rsidP="006C6ECC">
      <w:r>
        <w:lastRenderedPageBreak/>
        <w:t xml:space="preserve">For those districts </w:t>
      </w:r>
      <w:r w:rsidR="00D86817">
        <w:t>that</w:t>
      </w:r>
      <w:r>
        <w:t xml:space="preserve"> choose to implement an </w:t>
      </w:r>
      <w:hyperlink w:anchor="Alternative" w:history="1">
        <w:r w:rsidRPr="00D22685">
          <w:rPr>
            <w:rStyle w:val="Hyperlink"/>
          </w:rPr>
          <w:t>alternative salary schedule</w:t>
        </w:r>
      </w:hyperlink>
      <w:r>
        <w:t xml:space="preserve"> as their differentiated pay </w:t>
      </w:r>
      <w:proofErr w:type="gramStart"/>
      <w:r>
        <w:t>plan</w:t>
      </w:r>
      <w:proofErr w:type="gramEnd"/>
      <w:r>
        <w:t xml:space="preserve"> (see page </w:t>
      </w:r>
      <w:r w:rsidR="008E7BD4">
        <w:t>5</w:t>
      </w:r>
      <w:r>
        <w:t xml:space="preserve"> for more detailed information</w:t>
      </w:r>
      <w:r w:rsidR="00D86817">
        <w:t xml:space="preserve"> on this option</w:t>
      </w:r>
      <w:r>
        <w:t xml:space="preserve">) </w:t>
      </w:r>
      <w:r w:rsidR="00887F7C">
        <w:t>the following</w:t>
      </w:r>
      <w:r>
        <w:t xml:space="preserve"> </w:t>
      </w:r>
      <w:r w:rsidR="00CF3E88">
        <w:t xml:space="preserve">timeline will be used </w:t>
      </w:r>
      <w:r>
        <w:t>in order to m</w:t>
      </w:r>
      <w:r w:rsidR="00D86817">
        <w:t xml:space="preserve">eet the necessary State Board of Education (SBE) deadlines.  </w:t>
      </w:r>
      <w:r w:rsidR="00D22685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7246"/>
      </w:tblGrid>
      <w:tr w:rsidR="00D86817" w:rsidTr="000821CE">
        <w:trPr>
          <w:jc w:val="center"/>
        </w:trPr>
        <w:tc>
          <w:tcPr>
            <w:tcW w:w="9784" w:type="dxa"/>
            <w:gridSpan w:val="2"/>
          </w:tcPr>
          <w:p w:rsidR="00D86817" w:rsidRPr="00D86817" w:rsidRDefault="00D86817" w:rsidP="00D86817">
            <w:pPr>
              <w:jc w:val="center"/>
              <w:rPr>
                <w:b/>
              </w:rPr>
            </w:pPr>
            <w:bookmarkStart w:id="0" w:name="alt_timeline"/>
            <w:r w:rsidRPr="00D86817">
              <w:rPr>
                <w:b/>
              </w:rPr>
              <w:t>Alternative Salary Schedule Submission Timeline</w:t>
            </w:r>
            <w:bookmarkEnd w:id="0"/>
          </w:p>
        </w:tc>
      </w:tr>
      <w:tr w:rsidR="00D22685" w:rsidTr="00D86817">
        <w:trPr>
          <w:jc w:val="center"/>
        </w:trPr>
        <w:tc>
          <w:tcPr>
            <w:tcW w:w="2538" w:type="dxa"/>
          </w:tcPr>
          <w:p w:rsidR="00D22685" w:rsidRDefault="00D22685" w:rsidP="008C4260">
            <w:r>
              <w:t>Prior to submission</w:t>
            </w:r>
          </w:p>
        </w:tc>
        <w:tc>
          <w:tcPr>
            <w:tcW w:w="7246" w:type="dxa"/>
          </w:tcPr>
          <w:p w:rsidR="00D22685" w:rsidRDefault="00D22685" w:rsidP="008C4260">
            <w:r>
              <w:t>Local school boards are informed of the alternative salary schedule that will be submitted to TDOE</w:t>
            </w:r>
          </w:p>
        </w:tc>
      </w:tr>
      <w:tr w:rsidR="00D22685" w:rsidTr="00D86817">
        <w:trPr>
          <w:jc w:val="center"/>
        </w:trPr>
        <w:tc>
          <w:tcPr>
            <w:tcW w:w="2538" w:type="dxa"/>
          </w:tcPr>
          <w:p w:rsidR="00D22685" w:rsidRDefault="00D22685" w:rsidP="00CF3E88">
            <w:r>
              <w:t>Jan</w:t>
            </w:r>
            <w:r w:rsidR="00341C79">
              <w:t>.</w:t>
            </w:r>
            <w:r>
              <w:t xml:space="preserve"> 2, 2014</w:t>
            </w:r>
          </w:p>
        </w:tc>
        <w:tc>
          <w:tcPr>
            <w:tcW w:w="7246" w:type="dxa"/>
          </w:tcPr>
          <w:p w:rsidR="00D22685" w:rsidRDefault="00D22685" w:rsidP="00C03FE6">
            <w:r>
              <w:t>TDOE begins accepting differentiated pay plan submissions</w:t>
            </w:r>
          </w:p>
        </w:tc>
      </w:tr>
      <w:tr w:rsidR="00D22685" w:rsidTr="00D86817">
        <w:trPr>
          <w:jc w:val="center"/>
        </w:trPr>
        <w:tc>
          <w:tcPr>
            <w:tcW w:w="2538" w:type="dxa"/>
          </w:tcPr>
          <w:p w:rsidR="00D22685" w:rsidRDefault="00D22685" w:rsidP="00C03FE6">
            <w:r>
              <w:t>Jan</w:t>
            </w:r>
            <w:r w:rsidR="00341C79">
              <w:t>.</w:t>
            </w:r>
            <w:r>
              <w:t xml:space="preserve"> 31, 2014</w:t>
            </w:r>
          </w:p>
        </w:tc>
        <w:tc>
          <w:tcPr>
            <w:tcW w:w="7246" w:type="dxa"/>
          </w:tcPr>
          <w:p w:rsidR="00D22685" w:rsidRDefault="00D22685" w:rsidP="00D86817">
            <w:r>
              <w:t xml:space="preserve">Districts submit alternative salary schedules to TDOE </w:t>
            </w:r>
          </w:p>
        </w:tc>
      </w:tr>
      <w:tr w:rsidR="00D22685" w:rsidTr="00D86817">
        <w:trPr>
          <w:jc w:val="center"/>
        </w:trPr>
        <w:tc>
          <w:tcPr>
            <w:tcW w:w="2538" w:type="dxa"/>
          </w:tcPr>
          <w:p w:rsidR="00D22685" w:rsidRDefault="00D22685" w:rsidP="00D86817">
            <w:r>
              <w:t>By Feb</w:t>
            </w:r>
            <w:r w:rsidR="00341C79">
              <w:t>.</w:t>
            </w:r>
            <w:r>
              <w:t xml:space="preserve"> 21, 2014</w:t>
            </w:r>
          </w:p>
        </w:tc>
        <w:tc>
          <w:tcPr>
            <w:tcW w:w="7246" w:type="dxa"/>
          </w:tcPr>
          <w:p w:rsidR="00D22685" w:rsidRDefault="00D22685" w:rsidP="00C03FE6">
            <w:r>
              <w:t>TDOE communicates approval decision of the alternative salary schedule to school districts</w:t>
            </w:r>
          </w:p>
        </w:tc>
      </w:tr>
      <w:tr w:rsidR="00D22685" w:rsidTr="00D86817">
        <w:trPr>
          <w:jc w:val="center"/>
        </w:trPr>
        <w:tc>
          <w:tcPr>
            <w:tcW w:w="2538" w:type="dxa"/>
          </w:tcPr>
          <w:p w:rsidR="00D22685" w:rsidRDefault="00D22685" w:rsidP="00D86817">
            <w:r>
              <w:t xml:space="preserve">By March 8, 2014 </w:t>
            </w:r>
          </w:p>
        </w:tc>
        <w:tc>
          <w:tcPr>
            <w:tcW w:w="7246" w:type="dxa"/>
          </w:tcPr>
          <w:p w:rsidR="00D22685" w:rsidRDefault="00D22685" w:rsidP="00C03FE6">
            <w:r>
              <w:t xml:space="preserve">Local school boards approve the alternative salary schedule </w:t>
            </w:r>
          </w:p>
        </w:tc>
      </w:tr>
      <w:tr w:rsidR="00D22685" w:rsidTr="00D86817">
        <w:trPr>
          <w:jc w:val="center"/>
        </w:trPr>
        <w:tc>
          <w:tcPr>
            <w:tcW w:w="2538" w:type="dxa"/>
          </w:tcPr>
          <w:p w:rsidR="00D22685" w:rsidRDefault="00D22685" w:rsidP="00D86817">
            <w:r>
              <w:t>March 8, 2014</w:t>
            </w:r>
          </w:p>
        </w:tc>
        <w:tc>
          <w:tcPr>
            <w:tcW w:w="7246" w:type="dxa"/>
          </w:tcPr>
          <w:p w:rsidR="00D22685" w:rsidRDefault="00D22685" w:rsidP="00C03FE6">
            <w:r>
              <w:t>TDOE submits alternative salary schedule documents to the SBE</w:t>
            </w:r>
          </w:p>
        </w:tc>
      </w:tr>
      <w:tr w:rsidR="00D22685" w:rsidTr="00D86817">
        <w:trPr>
          <w:jc w:val="center"/>
        </w:trPr>
        <w:tc>
          <w:tcPr>
            <w:tcW w:w="2538" w:type="dxa"/>
          </w:tcPr>
          <w:p w:rsidR="00D22685" w:rsidRDefault="00D22685" w:rsidP="00C03FE6">
            <w:r>
              <w:t>April 18, 2014</w:t>
            </w:r>
          </w:p>
        </w:tc>
        <w:tc>
          <w:tcPr>
            <w:tcW w:w="7246" w:type="dxa"/>
          </w:tcPr>
          <w:p w:rsidR="00D22685" w:rsidRDefault="00D22685" w:rsidP="00C03FE6">
            <w:r>
              <w:t>SBE Meeting</w:t>
            </w:r>
          </w:p>
        </w:tc>
      </w:tr>
    </w:tbl>
    <w:p w:rsidR="000F464A" w:rsidRDefault="000F464A" w:rsidP="006C6ECC"/>
    <w:p w:rsidR="00BD12F8" w:rsidRDefault="008E7BD4" w:rsidP="006C6ECC">
      <w:r>
        <w:t>All d</w:t>
      </w:r>
      <w:r w:rsidR="00BD12F8">
        <w:t xml:space="preserve">ifferentiated pay plans </w:t>
      </w:r>
      <w:r>
        <w:t xml:space="preserve">and alternative salary schedules </w:t>
      </w:r>
      <w:r w:rsidR="00BD12F8">
        <w:t>should</w:t>
      </w:r>
      <w:r w:rsidR="00FE48E4">
        <w:t xml:space="preserve"> be submitted to </w:t>
      </w:r>
      <w:hyperlink r:id="rId10" w:history="1">
        <w:r w:rsidR="001F65DA" w:rsidRPr="009124DB">
          <w:rPr>
            <w:rStyle w:val="Hyperlink"/>
          </w:rPr>
          <w:t>Laura.Encalade@tn.gov</w:t>
        </w:r>
      </w:hyperlink>
      <w:r w:rsidR="00BD12F8">
        <w:t xml:space="preserve">. </w:t>
      </w:r>
      <w:r>
        <w:t xml:space="preserve"> The department also plans to post the final</w:t>
      </w:r>
      <w:r w:rsidR="00C31018">
        <w:t xml:space="preserve"> differentiated pay plans on</w:t>
      </w:r>
      <w:r>
        <w:t xml:space="preserve"> its website. </w:t>
      </w:r>
    </w:p>
    <w:p w:rsidR="006C6ECC" w:rsidRDefault="00F87D53" w:rsidP="006C6ECC">
      <w:r>
        <w:t xml:space="preserve">Note that while the differentiated pay plan must be implemented in the 2014-15 school year, the first payouts from those plans </w:t>
      </w:r>
      <w:r w:rsidR="00FE5077">
        <w:t xml:space="preserve">could </w:t>
      </w:r>
      <w:r>
        <w:t xml:space="preserve">occur, particularly for those plans which include performance related criteria, </w:t>
      </w:r>
      <w:r w:rsidR="00FE5077">
        <w:t xml:space="preserve">at </w:t>
      </w:r>
      <w:r>
        <w:t xml:space="preserve">the completion of the 2014-15 school </w:t>
      </w:r>
      <w:proofErr w:type="gramStart"/>
      <w:r>
        <w:t>year</w:t>
      </w:r>
      <w:proofErr w:type="gramEnd"/>
      <w:r>
        <w:t xml:space="preserve"> when all relevant student achievement data is available.  Following the </w:t>
      </w:r>
      <w:r w:rsidR="006C6ECC">
        <w:t>2014-15 school year</w:t>
      </w:r>
      <w:r w:rsidR="00FE5077">
        <w:t>,</w:t>
      </w:r>
      <w:r w:rsidR="006C6ECC">
        <w:t xml:space="preserve"> the department will collect evidence of implementation, including information regarding the number of awards that were paid out. </w:t>
      </w:r>
      <w:r w:rsidR="008E7BD4">
        <w:t xml:space="preserve">  </w:t>
      </w:r>
    </w:p>
    <w:p w:rsidR="006C6ECC" w:rsidRPr="006C6ECC" w:rsidRDefault="0099350D" w:rsidP="006C6ECC">
      <w:r>
        <w:t xml:space="preserve">Contact Laura </w:t>
      </w:r>
      <w:proofErr w:type="spellStart"/>
      <w:r>
        <w:t>Encalade</w:t>
      </w:r>
      <w:proofErr w:type="spellEnd"/>
      <w:r>
        <w:t xml:space="preserve"> at </w:t>
      </w:r>
      <w:hyperlink r:id="rId11" w:history="1">
        <w:r w:rsidRPr="004224B9">
          <w:rPr>
            <w:rStyle w:val="Hyperlink"/>
          </w:rPr>
          <w:t>Laura.Encalade@tn.gov</w:t>
        </w:r>
      </w:hyperlink>
      <w:r>
        <w:t xml:space="preserve"> </w:t>
      </w:r>
      <w:r w:rsidR="00CD65A0">
        <w:t xml:space="preserve"> or </w:t>
      </w:r>
      <w:r w:rsidR="007D50FB">
        <w:t>(</w:t>
      </w:r>
      <w:r w:rsidR="00CD65A0">
        <w:t>615</w:t>
      </w:r>
      <w:r w:rsidR="007D50FB">
        <w:t xml:space="preserve">) </w:t>
      </w:r>
      <w:r w:rsidR="00CD65A0">
        <w:t xml:space="preserve">253-2119 </w:t>
      </w:r>
      <w:r>
        <w:t xml:space="preserve">for </w:t>
      </w:r>
      <w:r w:rsidR="00CF3E88">
        <w:t xml:space="preserve">additional </w:t>
      </w:r>
      <w:r>
        <w:t>questions</w:t>
      </w:r>
      <w:r w:rsidR="00FE48E4">
        <w:t xml:space="preserve"> or guidance on</w:t>
      </w:r>
      <w:r>
        <w:t xml:space="preserve"> creating your differentiated pay plan or on the submission and approval processes. </w:t>
      </w:r>
    </w:p>
    <w:p w:rsidR="00F55B3A" w:rsidRDefault="00F55B3A" w:rsidP="007B500D">
      <w:pPr>
        <w:rPr>
          <w:b/>
        </w:rPr>
      </w:pPr>
    </w:p>
    <w:p w:rsidR="005A0335" w:rsidRPr="005144F2" w:rsidRDefault="008E7BD4" w:rsidP="007B500D">
      <w:pPr>
        <w:rPr>
          <w:b/>
        </w:rPr>
      </w:pPr>
      <w:r>
        <w:rPr>
          <w:b/>
        </w:rPr>
        <w:br w:type="page"/>
      </w:r>
      <w:r w:rsidR="005A0335" w:rsidRPr="005144F2">
        <w:rPr>
          <w:b/>
        </w:rPr>
        <w:lastRenderedPageBreak/>
        <w:t>I.  Description of Differentiated Elements</w:t>
      </w:r>
      <w:r w:rsidR="00297175">
        <w:rPr>
          <w:b/>
        </w:rPr>
        <w:t xml:space="preserve"> (Required</w:t>
      </w:r>
      <w:r w:rsidR="00066419">
        <w:rPr>
          <w:b/>
        </w:rPr>
        <w:t xml:space="preserve"> Section</w:t>
      </w:r>
      <w:r w:rsidR="00297175">
        <w:rPr>
          <w:b/>
        </w:rPr>
        <w:t>)</w:t>
      </w:r>
    </w:p>
    <w:p w:rsidR="005144F2" w:rsidRDefault="007B500D" w:rsidP="007B500D">
      <w:r>
        <w:t>Directions:</w:t>
      </w:r>
      <w:r w:rsidR="005A0335">
        <w:t xml:space="preserve">  For each element of </w:t>
      </w:r>
      <w:r w:rsidR="00CF3E88">
        <w:t xml:space="preserve">the district’s </w:t>
      </w:r>
      <w:r w:rsidR="005A0335">
        <w:t xml:space="preserve">differentiated pay plan, use the table below to provide a description of how </w:t>
      </w:r>
      <w:r w:rsidR="00CF3E88">
        <w:t xml:space="preserve">the district </w:t>
      </w:r>
      <w:r w:rsidR="005A0335">
        <w:t xml:space="preserve">will differentiate pay.  </w:t>
      </w:r>
      <w:r w:rsidR="00CF3E88">
        <w:t xml:space="preserve">The </w:t>
      </w:r>
      <w:r w:rsidR="005A0335">
        <w:t xml:space="preserve">plan must include </w:t>
      </w:r>
      <w:r w:rsidR="005A0335" w:rsidRPr="00984E03">
        <w:rPr>
          <w:b/>
          <w:u w:val="single"/>
        </w:rPr>
        <w:t>at least one</w:t>
      </w:r>
      <w:r w:rsidR="005A0335">
        <w:t xml:space="preserve"> of the elements listed below</w:t>
      </w:r>
      <w:r w:rsidR="00984E03">
        <w:t xml:space="preserve"> in the left-hand column</w:t>
      </w:r>
      <w:r w:rsidR="00CF3E88">
        <w:t>, in addition to education and experience</w:t>
      </w:r>
      <w:r w:rsidR="00984E03">
        <w:t xml:space="preserve">.  </w:t>
      </w:r>
    </w:p>
    <w:p w:rsidR="007B500D" w:rsidRDefault="00984E03" w:rsidP="007B500D">
      <w:r>
        <w:t>Many plans may include a combination of several elements</w:t>
      </w:r>
      <w:r w:rsidR="00FE5077">
        <w:t>;</w:t>
      </w:r>
      <w:r>
        <w:t xml:space="preserve"> </w:t>
      </w:r>
      <w:r w:rsidR="00CF3E88">
        <w:t>therefore</w:t>
      </w:r>
      <w:r w:rsidR="00FE5077">
        <w:t>,</w:t>
      </w:r>
      <w:r w:rsidR="00CF3E88">
        <w:t xml:space="preserve"> please </w:t>
      </w:r>
      <w:r>
        <w:t xml:space="preserve">add rows or repeat differentiated elements as needed.  For example, </w:t>
      </w:r>
      <w:r w:rsidR="00CF3E88">
        <w:t>the</w:t>
      </w:r>
      <w:r>
        <w:t xml:space="preserve"> plan may include two diff</w:t>
      </w:r>
      <w:r w:rsidR="005144F2">
        <w:t xml:space="preserve">erent types of additional instructional roles. </w:t>
      </w:r>
      <w:r w:rsidR="003215FF">
        <w:t xml:space="preserve"> </w:t>
      </w:r>
      <w:r w:rsidR="00CF3E88">
        <w:t>Also, please feel free to</w:t>
      </w:r>
      <w:r w:rsidR="004B6064">
        <w:t xml:space="preserve"> delete from the table or leave blank any differentiated elements that will not be used in your plan.   </w:t>
      </w:r>
    </w:p>
    <w:p w:rsidR="00265BA9" w:rsidRDefault="00253BA5" w:rsidP="00F47838">
      <w:hyperlink w:anchor="appendix_b" w:history="1">
        <w:r w:rsidR="008E7BD4" w:rsidRPr="00D22685">
          <w:rPr>
            <w:rStyle w:val="Hyperlink"/>
          </w:rPr>
          <w:t xml:space="preserve">Appendix </w:t>
        </w:r>
        <w:r w:rsidR="00D22685" w:rsidRPr="00D22685">
          <w:rPr>
            <w:rStyle w:val="Hyperlink"/>
          </w:rPr>
          <w:t>B</w:t>
        </w:r>
      </w:hyperlink>
      <w:r w:rsidR="00D22685">
        <w:t xml:space="preserve"> </w:t>
      </w:r>
      <w:r w:rsidR="008E7BD4">
        <w:t>of this document contains an example of each type of differentiated element</w:t>
      </w:r>
      <w:r w:rsidR="00C31018">
        <w:t>.  Please review that</w:t>
      </w:r>
      <w:r w:rsidR="008E7BD4">
        <w:t xml:space="preserve"> example </w:t>
      </w:r>
      <w:r w:rsidR="00C31018">
        <w:t>prior to</w:t>
      </w:r>
      <w:r w:rsidR="008E7BD4">
        <w:t xml:space="preserve"> completing the table below. </w:t>
      </w:r>
    </w:p>
    <w:tbl>
      <w:tblPr>
        <w:tblStyle w:val="TableGrid"/>
        <w:tblpPr w:leftFromText="180" w:rightFromText="180" w:vertAnchor="text" w:horzAnchor="margin" w:tblpY="130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2880"/>
        <w:gridCol w:w="2880"/>
        <w:gridCol w:w="1890"/>
        <w:gridCol w:w="1710"/>
      </w:tblGrid>
      <w:tr w:rsidR="009879A9" w:rsidRPr="009879A9" w:rsidTr="009879A9">
        <w:tc>
          <w:tcPr>
            <w:tcW w:w="1818" w:type="dxa"/>
            <w:shd w:val="clear" w:color="auto" w:fill="1F497D" w:themeFill="text2"/>
          </w:tcPr>
          <w:p w:rsidR="009879A9" w:rsidRPr="009879A9" w:rsidRDefault="009879A9" w:rsidP="009879A9">
            <w:pPr>
              <w:rPr>
                <w:b/>
                <w:color w:val="FFFFFF" w:themeColor="background1"/>
              </w:rPr>
            </w:pPr>
            <w:r w:rsidRPr="009879A9">
              <w:rPr>
                <w:b/>
                <w:color w:val="FFFFFF" w:themeColor="background1"/>
              </w:rPr>
              <w:t>Differentiated Element</w:t>
            </w:r>
          </w:p>
        </w:tc>
        <w:tc>
          <w:tcPr>
            <w:tcW w:w="3060" w:type="dxa"/>
            <w:shd w:val="clear" w:color="auto" w:fill="1F497D" w:themeFill="text2"/>
          </w:tcPr>
          <w:p w:rsidR="009879A9" w:rsidRPr="009879A9" w:rsidRDefault="009879A9" w:rsidP="009879A9">
            <w:pPr>
              <w:jc w:val="center"/>
              <w:rPr>
                <w:b/>
                <w:color w:val="FFFFFF" w:themeColor="background1"/>
              </w:rPr>
            </w:pPr>
            <w:r w:rsidRPr="009879A9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880" w:type="dxa"/>
            <w:shd w:val="clear" w:color="auto" w:fill="1F497D" w:themeFill="text2"/>
          </w:tcPr>
          <w:p w:rsidR="009879A9" w:rsidRPr="009879A9" w:rsidRDefault="009879A9" w:rsidP="009879A9">
            <w:pPr>
              <w:jc w:val="center"/>
              <w:rPr>
                <w:b/>
                <w:color w:val="FFFFFF" w:themeColor="background1"/>
              </w:rPr>
            </w:pPr>
            <w:r w:rsidRPr="009879A9">
              <w:rPr>
                <w:b/>
                <w:color w:val="FFFFFF" w:themeColor="background1"/>
              </w:rPr>
              <w:t xml:space="preserve">Compensation Type and Size </w:t>
            </w:r>
          </w:p>
        </w:tc>
        <w:tc>
          <w:tcPr>
            <w:tcW w:w="2880" w:type="dxa"/>
            <w:shd w:val="clear" w:color="auto" w:fill="1F497D" w:themeFill="text2"/>
          </w:tcPr>
          <w:p w:rsidR="009879A9" w:rsidRPr="009879A9" w:rsidRDefault="009879A9" w:rsidP="009879A9">
            <w:pPr>
              <w:jc w:val="center"/>
              <w:rPr>
                <w:b/>
                <w:color w:val="FFFFFF" w:themeColor="background1"/>
              </w:rPr>
            </w:pPr>
            <w:r w:rsidRPr="009879A9">
              <w:rPr>
                <w:b/>
                <w:color w:val="FFFFFF" w:themeColor="background1"/>
              </w:rPr>
              <w:t>Reach</w:t>
            </w:r>
          </w:p>
        </w:tc>
        <w:tc>
          <w:tcPr>
            <w:tcW w:w="1890" w:type="dxa"/>
            <w:shd w:val="clear" w:color="auto" w:fill="1F497D" w:themeFill="text2"/>
          </w:tcPr>
          <w:p w:rsidR="009879A9" w:rsidRPr="009879A9" w:rsidRDefault="009879A9" w:rsidP="009879A9">
            <w:pPr>
              <w:jc w:val="center"/>
              <w:rPr>
                <w:b/>
                <w:color w:val="FFFFFF" w:themeColor="background1"/>
              </w:rPr>
            </w:pPr>
            <w:r w:rsidRPr="009879A9">
              <w:rPr>
                <w:b/>
                <w:color w:val="FFFFFF" w:themeColor="background1"/>
              </w:rPr>
              <w:t>Estimated Cost</w:t>
            </w:r>
          </w:p>
        </w:tc>
        <w:tc>
          <w:tcPr>
            <w:tcW w:w="1710" w:type="dxa"/>
            <w:shd w:val="clear" w:color="auto" w:fill="1F497D" w:themeFill="text2"/>
          </w:tcPr>
          <w:p w:rsidR="009879A9" w:rsidRPr="009879A9" w:rsidRDefault="00811529" w:rsidP="009879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Estimated </w:t>
            </w:r>
            <w:r w:rsidR="009879A9" w:rsidRPr="009879A9">
              <w:rPr>
                <w:b/>
                <w:color w:val="FFFFFF" w:themeColor="background1"/>
              </w:rPr>
              <w:t>Salary Expenditures</w:t>
            </w:r>
          </w:p>
        </w:tc>
      </w:tr>
      <w:tr w:rsidR="009879A9" w:rsidRPr="009879A9" w:rsidTr="009879A9">
        <w:tc>
          <w:tcPr>
            <w:tcW w:w="1818" w:type="dxa"/>
            <w:shd w:val="clear" w:color="auto" w:fill="8DB3E2" w:themeFill="text2" w:themeFillTint="66"/>
          </w:tcPr>
          <w:p w:rsidR="009879A9" w:rsidRPr="009879A9" w:rsidRDefault="009879A9" w:rsidP="009879A9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8DB3E2" w:themeFill="text2" w:themeFillTint="66"/>
          </w:tcPr>
          <w:p w:rsidR="009879A9" w:rsidRPr="009879A9" w:rsidRDefault="009879A9" w:rsidP="009879A9">
            <w:pPr>
              <w:rPr>
                <w:b/>
                <w:i/>
              </w:rPr>
            </w:pPr>
            <w:r w:rsidRPr="009879A9">
              <w:rPr>
                <w:b/>
                <w:i/>
              </w:rPr>
              <w:t xml:space="preserve">Describe how the district will differentiate for this element. </w:t>
            </w:r>
          </w:p>
          <w:p w:rsidR="009879A9" w:rsidRPr="009879A9" w:rsidRDefault="009879A9" w:rsidP="009879A9">
            <w:pPr>
              <w:jc w:val="center"/>
              <w:rPr>
                <w:b/>
                <w:i/>
              </w:rPr>
            </w:pPr>
          </w:p>
          <w:p w:rsidR="009879A9" w:rsidRPr="009879A9" w:rsidRDefault="009879A9" w:rsidP="00261866">
            <w:pPr>
              <w:rPr>
                <w:b/>
                <w:i/>
              </w:rPr>
            </w:pPr>
            <w:r w:rsidRPr="009879A9">
              <w:rPr>
                <w:b/>
                <w:i/>
              </w:rPr>
              <w:t>Include the criteria for receiving the award.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:rsidR="009879A9" w:rsidRPr="009879A9" w:rsidRDefault="009879A9" w:rsidP="009879A9">
            <w:pPr>
              <w:rPr>
                <w:b/>
                <w:i/>
              </w:rPr>
            </w:pPr>
            <w:r w:rsidRPr="009879A9">
              <w:rPr>
                <w:b/>
                <w:i/>
              </w:rPr>
              <w:t xml:space="preserve">Will the compensation be given as a bonus or a base pay increase?  </w:t>
            </w:r>
          </w:p>
          <w:p w:rsidR="009879A9" w:rsidRPr="009879A9" w:rsidRDefault="009879A9" w:rsidP="009879A9">
            <w:pPr>
              <w:rPr>
                <w:b/>
                <w:i/>
              </w:rPr>
            </w:pPr>
          </w:p>
          <w:p w:rsidR="009879A9" w:rsidRPr="009879A9" w:rsidRDefault="009879A9" w:rsidP="009879A9">
            <w:pPr>
              <w:rPr>
                <w:b/>
                <w:i/>
              </w:rPr>
            </w:pPr>
            <w:r w:rsidRPr="009879A9">
              <w:rPr>
                <w:b/>
                <w:i/>
              </w:rPr>
              <w:t>How much will qualifying teachers receive?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:rsidR="009879A9" w:rsidRPr="009879A9" w:rsidRDefault="009879A9" w:rsidP="009879A9">
            <w:pPr>
              <w:rPr>
                <w:b/>
                <w:i/>
              </w:rPr>
            </w:pPr>
            <w:r w:rsidRPr="009879A9">
              <w:rPr>
                <w:b/>
                <w:i/>
              </w:rPr>
              <w:t xml:space="preserve">Eligibility:  How many teachers are eligible for this type of compensation?  </w:t>
            </w:r>
          </w:p>
          <w:p w:rsidR="009879A9" w:rsidRPr="009879A9" w:rsidRDefault="009879A9" w:rsidP="009879A9">
            <w:pPr>
              <w:rPr>
                <w:b/>
                <w:i/>
              </w:rPr>
            </w:pPr>
          </w:p>
          <w:p w:rsidR="009879A9" w:rsidRPr="009879A9" w:rsidRDefault="009879A9" w:rsidP="009879A9">
            <w:pPr>
              <w:rPr>
                <w:b/>
                <w:i/>
              </w:rPr>
            </w:pPr>
            <w:r w:rsidRPr="009879A9">
              <w:rPr>
                <w:b/>
                <w:i/>
              </w:rPr>
              <w:t>Forecasted participation:  How many teachers do you estimate will receive the award?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9879A9" w:rsidRPr="009879A9" w:rsidRDefault="009879A9" w:rsidP="009879A9">
            <w:pPr>
              <w:rPr>
                <w:b/>
                <w:i/>
              </w:rPr>
            </w:pPr>
            <w:r w:rsidRPr="009879A9">
              <w:rPr>
                <w:b/>
                <w:i/>
              </w:rPr>
              <w:t>How much does the district estimate it will pay</w:t>
            </w:r>
            <w:r w:rsidR="00FE5077">
              <w:rPr>
                <w:b/>
                <w:i/>
              </w:rPr>
              <w:t xml:space="preserve"> </w:t>
            </w:r>
            <w:r w:rsidRPr="009879A9">
              <w:rPr>
                <w:b/>
                <w:i/>
              </w:rPr>
              <w:t>out for this differentiated pay element?</w:t>
            </w:r>
          </w:p>
          <w:p w:rsidR="009879A9" w:rsidRPr="009879A9" w:rsidRDefault="009879A9" w:rsidP="009879A9">
            <w:pPr>
              <w:rPr>
                <w:b/>
                <w:i/>
              </w:rPr>
            </w:pPr>
          </w:p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8DB3E2" w:themeFill="text2" w:themeFillTint="66"/>
          </w:tcPr>
          <w:p w:rsidR="009879A9" w:rsidRPr="009879A9" w:rsidRDefault="009879A9" w:rsidP="009879A9">
            <w:pPr>
              <w:rPr>
                <w:b/>
                <w:i/>
              </w:rPr>
            </w:pPr>
            <w:r w:rsidRPr="009879A9">
              <w:rPr>
                <w:b/>
                <w:i/>
              </w:rPr>
              <w:t>What percentage of salary expenditures (excluding benefit costs) does this element cover?</w:t>
            </w:r>
          </w:p>
        </w:tc>
      </w:tr>
      <w:tr w:rsidR="009879A9" w:rsidRPr="009879A9" w:rsidTr="009879A9">
        <w:tc>
          <w:tcPr>
            <w:tcW w:w="1818" w:type="dxa"/>
            <w:shd w:val="clear" w:color="auto" w:fill="auto"/>
          </w:tcPr>
          <w:p w:rsidR="009879A9" w:rsidRPr="001B306F" w:rsidRDefault="009879A9" w:rsidP="009879A9">
            <w:pPr>
              <w:rPr>
                <w:b/>
              </w:rPr>
            </w:pPr>
            <w:r w:rsidRPr="001B306F">
              <w:rPr>
                <w:b/>
              </w:rPr>
              <w:t>Hard-to-Staff (School, Subject, or Placement)</w:t>
            </w:r>
          </w:p>
        </w:tc>
        <w:tc>
          <w:tcPr>
            <w:tcW w:w="306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89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</w:tr>
      <w:tr w:rsidR="009879A9" w:rsidRPr="009879A9" w:rsidTr="009879A9">
        <w:tc>
          <w:tcPr>
            <w:tcW w:w="1818" w:type="dxa"/>
            <w:shd w:val="clear" w:color="auto" w:fill="auto"/>
          </w:tcPr>
          <w:p w:rsidR="009879A9" w:rsidRPr="001B306F" w:rsidRDefault="009879A9" w:rsidP="009879A9">
            <w:pPr>
              <w:rPr>
                <w:b/>
              </w:rPr>
            </w:pPr>
            <w:r w:rsidRPr="001B306F">
              <w:rPr>
                <w:b/>
              </w:rPr>
              <w:t>Performance</w:t>
            </w:r>
          </w:p>
        </w:tc>
        <w:tc>
          <w:tcPr>
            <w:tcW w:w="306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89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</w:tr>
      <w:tr w:rsidR="009879A9" w:rsidRPr="009879A9" w:rsidTr="009879A9">
        <w:tc>
          <w:tcPr>
            <w:tcW w:w="1818" w:type="dxa"/>
            <w:shd w:val="clear" w:color="auto" w:fill="auto"/>
          </w:tcPr>
          <w:p w:rsidR="009879A9" w:rsidRPr="001B306F" w:rsidRDefault="009879A9" w:rsidP="009879A9">
            <w:pPr>
              <w:rPr>
                <w:b/>
              </w:rPr>
            </w:pPr>
            <w:r w:rsidRPr="001B306F">
              <w:rPr>
                <w:b/>
              </w:rPr>
              <w:t xml:space="preserve">Additional Instructional Roles or Responsibilities </w:t>
            </w:r>
          </w:p>
        </w:tc>
        <w:tc>
          <w:tcPr>
            <w:tcW w:w="306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89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</w:tr>
      <w:tr w:rsidR="009879A9" w:rsidRPr="009879A9" w:rsidTr="009879A9">
        <w:tc>
          <w:tcPr>
            <w:tcW w:w="1818" w:type="dxa"/>
            <w:shd w:val="clear" w:color="auto" w:fill="auto"/>
          </w:tcPr>
          <w:p w:rsidR="009879A9" w:rsidRDefault="009879A9" w:rsidP="009879A9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306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89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</w:tr>
      <w:tr w:rsidR="009879A9" w:rsidRPr="009879A9" w:rsidTr="009879A9">
        <w:tc>
          <w:tcPr>
            <w:tcW w:w="1818" w:type="dxa"/>
            <w:shd w:val="clear" w:color="auto" w:fill="auto"/>
          </w:tcPr>
          <w:p w:rsidR="009879A9" w:rsidRDefault="009879A9" w:rsidP="009879A9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06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89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</w:tr>
      <w:tr w:rsidR="009879A9" w:rsidRPr="009879A9" w:rsidTr="009879A9">
        <w:tc>
          <w:tcPr>
            <w:tcW w:w="1818" w:type="dxa"/>
            <w:shd w:val="clear" w:color="auto" w:fill="auto"/>
          </w:tcPr>
          <w:p w:rsidR="009879A9" w:rsidRDefault="009879A9" w:rsidP="009879A9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06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89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auto"/>
          </w:tcPr>
          <w:p w:rsidR="009879A9" w:rsidRPr="009879A9" w:rsidRDefault="009879A9" w:rsidP="009879A9">
            <w:pPr>
              <w:rPr>
                <w:b/>
                <w:i/>
              </w:rPr>
            </w:pPr>
          </w:p>
        </w:tc>
      </w:tr>
    </w:tbl>
    <w:p w:rsidR="00F55B3A" w:rsidRDefault="00F55B3A" w:rsidP="007B500D">
      <w:pPr>
        <w:rPr>
          <w:b/>
        </w:rPr>
      </w:pPr>
    </w:p>
    <w:p w:rsidR="007B500D" w:rsidRPr="00FE48E4" w:rsidRDefault="008E7BD4" w:rsidP="007B500D">
      <w:pPr>
        <w:rPr>
          <w:b/>
        </w:rPr>
      </w:pPr>
      <w:r>
        <w:rPr>
          <w:b/>
        </w:rPr>
        <w:br w:type="page"/>
      </w:r>
      <w:r w:rsidR="00041CA9">
        <w:rPr>
          <w:b/>
        </w:rPr>
        <w:lastRenderedPageBreak/>
        <w:t xml:space="preserve">II. </w:t>
      </w:r>
      <w:r w:rsidR="000F464A">
        <w:rPr>
          <w:b/>
        </w:rPr>
        <w:t>Salary Schedule</w:t>
      </w:r>
      <w:r w:rsidR="00FE48E4" w:rsidRPr="00FE48E4">
        <w:rPr>
          <w:b/>
        </w:rPr>
        <w:t xml:space="preserve"> </w:t>
      </w:r>
      <w:r w:rsidR="00297175">
        <w:rPr>
          <w:b/>
        </w:rPr>
        <w:t>(Required</w:t>
      </w:r>
      <w:r w:rsidR="00066419">
        <w:rPr>
          <w:b/>
        </w:rPr>
        <w:t xml:space="preserve"> Section</w:t>
      </w:r>
      <w:r w:rsidR="00297175">
        <w:rPr>
          <w:b/>
        </w:rPr>
        <w:t>)</w:t>
      </w:r>
    </w:p>
    <w:p w:rsidR="000C60D1" w:rsidRDefault="000F464A" w:rsidP="00811529">
      <w:pPr>
        <w:pStyle w:val="ListParagraph"/>
        <w:numPr>
          <w:ilvl w:val="0"/>
          <w:numId w:val="3"/>
        </w:numPr>
      </w:pPr>
      <w:r>
        <w:t xml:space="preserve">Please include </w:t>
      </w:r>
      <w:r w:rsidR="00542B77">
        <w:t xml:space="preserve">below </w:t>
      </w:r>
      <w:r>
        <w:t xml:space="preserve">or attach a </w:t>
      </w:r>
      <w:r w:rsidR="00FE48E4">
        <w:t xml:space="preserve">copy of </w:t>
      </w:r>
      <w:r w:rsidR="00CF3E88">
        <w:t xml:space="preserve">the district’s </w:t>
      </w:r>
      <w:r w:rsidR="00FE48E4">
        <w:t xml:space="preserve">proposed 2014-15 salary schedule. </w:t>
      </w:r>
    </w:p>
    <w:p w:rsidR="005E132E" w:rsidRDefault="005E132E" w:rsidP="005E132E">
      <w:pPr>
        <w:pStyle w:val="ListParagraph"/>
      </w:pPr>
    </w:p>
    <w:p w:rsidR="00DA7A4E" w:rsidRPr="00D83EAC" w:rsidRDefault="005E132E" w:rsidP="00811529">
      <w:pPr>
        <w:pStyle w:val="ListParagraph"/>
        <w:numPr>
          <w:ilvl w:val="0"/>
          <w:numId w:val="3"/>
        </w:numPr>
        <w:rPr>
          <w:b/>
        </w:rPr>
      </w:pPr>
      <w:r w:rsidRPr="00D83EAC">
        <w:t>Describe how you will allocate any future state funding increases (i.e., FY13 1.5% increase in the BEP instructional component).  Will increases be</w:t>
      </w:r>
      <w:r w:rsidR="00D83EAC" w:rsidRPr="00D83EAC">
        <w:t>:   1)</w:t>
      </w:r>
      <w:r w:rsidRPr="00D83EAC">
        <w:t xml:space="preserve"> applied across-the-board, </w:t>
      </w:r>
      <w:r w:rsidR="00D83EAC" w:rsidRPr="00D83EAC">
        <w:t xml:space="preserve">2) </w:t>
      </w:r>
      <w:r w:rsidRPr="00D83EAC">
        <w:t>allocated towards differentiated pay, or</w:t>
      </w:r>
      <w:r w:rsidR="00D83EAC" w:rsidRPr="00D83EAC">
        <w:t xml:space="preserve"> 3)</w:t>
      </w:r>
      <w:r w:rsidRPr="00D83EAC">
        <w:t xml:space="preserve"> a combination of both?</w:t>
      </w:r>
    </w:p>
    <w:p w:rsidR="005E132E" w:rsidRPr="005E132E" w:rsidRDefault="005E132E" w:rsidP="005E132E">
      <w:pPr>
        <w:pStyle w:val="ListParagraph"/>
        <w:rPr>
          <w:b/>
        </w:rPr>
      </w:pPr>
    </w:p>
    <w:p w:rsidR="00811529" w:rsidRDefault="00811529" w:rsidP="00811529">
      <w:pPr>
        <w:rPr>
          <w:b/>
        </w:rPr>
      </w:pPr>
      <w:r w:rsidRPr="00811529">
        <w:rPr>
          <w:b/>
        </w:rPr>
        <w:t>III. Eligibility</w:t>
      </w:r>
      <w:r w:rsidR="00542B77">
        <w:rPr>
          <w:b/>
        </w:rPr>
        <w:t xml:space="preserve"> </w:t>
      </w:r>
      <w:r w:rsidR="00D22685">
        <w:rPr>
          <w:b/>
        </w:rPr>
        <w:t xml:space="preserve">and Stakeholder </w:t>
      </w:r>
      <w:r w:rsidR="000F464A">
        <w:rPr>
          <w:b/>
        </w:rPr>
        <w:t xml:space="preserve">Engagement </w:t>
      </w:r>
      <w:r w:rsidRPr="00811529">
        <w:rPr>
          <w:b/>
        </w:rPr>
        <w:t>(Optional Section)</w:t>
      </w:r>
    </w:p>
    <w:p w:rsidR="00D83EAC" w:rsidRPr="00D83EAC" w:rsidRDefault="00D83EAC" w:rsidP="00811529">
      <w:r w:rsidRPr="00D83EAC">
        <w:t xml:space="preserve">While this section is optional, the information provided will help the department to be able to provide </w:t>
      </w:r>
      <w:r>
        <w:t xml:space="preserve">continued support and assistance to districts in implementing their differentiated pay plans. </w:t>
      </w:r>
    </w:p>
    <w:p w:rsidR="002E1968" w:rsidRDefault="00C74479" w:rsidP="002E1968">
      <w:pPr>
        <w:pStyle w:val="ListParagraph"/>
        <w:numPr>
          <w:ilvl w:val="0"/>
          <w:numId w:val="7"/>
        </w:numPr>
      </w:pPr>
      <w:r>
        <w:t>Provide a list of</w:t>
      </w:r>
      <w:r w:rsidR="00D22685">
        <w:t xml:space="preserve"> </w:t>
      </w:r>
      <w:r w:rsidR="000F464A">
        <w:t>eligibility</w:t>
      </w:r>
      <w:r>
        <w:t xml:space="preserve"> rules (i.e., attendance requirements, retirement or transfer policies, etc.) </w:t>
      </w:r>
      <w:r w:rsidR="000F464A">
        <w:t xml:space="preserve">for the differentiated pay plan elements or additional roles/responsibilities outlined in the plan.  </w:t>
      </w:r>
    </w:p>
    <w:p w:rsidR="002E1968" w:rsidRDefault="002E1968" w:rsidP="002E1968">
      <w:pPr>
        <w:pStyle w:val="ListParagraph"/>
      </w:pPr>
    </w:p>
    <w:p w:rsidR="000C60D1" w:rsidRDefault="002E1968" w:rsidP="002E1968">
      <w:pPr>
        <w:pStyle w:val="ListParagraph"/>
        <w:numPr>
          <w:ilvl w:val="0"/>
          <w:numId w:val="7"/>
        </w:numPr>
      </w:pPr>
      <w:r>
        <w:t>Include a description of how the district engaged teachers or other stakeholders in the development of the differentiated pay plan.</w:t>
      </w:r>
    </w:p>
    <w:p w:rsidR="00532F04" w:rsidRDefault="00532F04" w:rsidP="00532F04">
      <w:pPr>
        <w:pStyle w:val="ListParagraph"/>
      </w:pPr>
    </w:p>
    <w:p w:rsidR="005E132E" w:rsidRPr="00D83EAC" w:rsidRDefault="005F3E8A" w:rsidP="002E1968">
      <w:pPr>
        <w:pStyle w:val="ListParagraph"/>
        <w:numPr>
          <w:ilvl w:val="0"/>
          <w:numId w:val="7"/>
        </w:numPr>
      </w:pPr>
      <w:r w:rsidRPr="00D83EAC">
        <w:t>Does the district plan to expand or grow its differentiated pay plan in future years?  If so, what types of changes or expansions are you considering</w:t>
      </w:r>
      <w:r w:rsidR="00D83EAC">
        <w:t xml:space="preserve"> to your differentiated pay plan or salary schedule</w:t>
      </w:r>
      <w:r w:rsidRPr="00D83EAC">
        <w:t>?</w:t>
      </w:r>
    </w:p>
    <w:p w:rsidR="000F464A" w:rsidRDefault="000F464A">
      <w:r>
        <w:br w:type="page"/>
      </w:r>
      <w:bookmarkStart w:id="1" w:name="_GoBack"/>
      <w:bookmarkEnd w:id="1"/>
    </w:p>
    <w:p w:rsidR="005144F2" w:rsidRPr="00066419" w:rsidRDefault="002E1968" w:rsidP="00C82A10">
      <w:bookmarkStart w:id="2" w:name="alt_addendum"/>
      <w:r>
        <w:rPr>
          <w:b/>
        </w:rPr>
        <w:lastRenderedPageBreak/>
        <w:t>IV</w:t>
      </w:r>
      <w:proofErr w:type="gramStart"/>
      <w:r w:rsidR="00756BC5">
        <w:rPr>
          <w:b/>
        </w:rPr>
        <w:t xml:space="preserve">.  </w:t>
      </w:r>
      <w:r w:rsidR="00C82A10" w:rsidRPr="00C82A10">
        <w:rPr>
          <w:b/>
        </w:rPr>
        <w:t>Alternative</w:t>
      </w:r>
      <w:proofErr w:type="gramEnd"/>
      <w:r w:rsidR="00C82A10" w:rsidRPr="00C82A10">
        <w:rPr>
          <w:b/>
        </w:rPr>
        <w:t xml:space="preserve"> Salary Schedule </w:t>
      </w:r>
      <w:r w:rsidR="00297175">
        <w:rPr>
          <w:b/>
        </w:rPr>
        <w:t>(</w:t>
      </w:r>
      <w:bookmarkEnd w:id="2"/>
      <w:r w:rsidR="00066419">
        <w:rPr>
          <w:b/>
        </w:rPr>
        <w:t>Optional Section</w:t>
      </w:r>
      <w:r w:rsidR="00D22685">
        <w:rPr>
          <w:b/>
        </w:rPr>
        <w:t>)</w:t>
      </w:r>
    </w:p>
    <w:p w:rsidR="007A15C5" w:rsidRPr="007A15C5" w:rsidRDefault="007A15C5" w:rsidP="007A15C5">
      <w:r>
        <w:t xml:space="preserve">An alternative salary schedule </w:t>
      </w:r>
      <w:r w:rsidRPr="007A15C5">
        <w:t>uses some othe</w:t>
      </w:r>
      <w:r>
        <w:t>r component, often performance criteria, in addition to or in place of</w:t>
      </w:r>
      <w:r w:rsidRPr="007A15C5">
        <w:t xml:space="preserve"> education and </w:t>
      </w:r>
      <w:r>
        <w:t>experience to determine</w:t>
      </w:r>
      <w:r w:rsidRPr="007A15C5">
        <w:t xml:space="preserve"> </w:t>
      </w:r>
      <w:r>
        <w:t xml:space="preserve">base pay and is subject to State Board of Education </w:t>
      </w:r>
      <w:r w:rsidR="006D2838">
        <w:t xml:space="preserve">(SBE) </w:t>
      </w:r>
      <w:r>
        <w:t xml:space="preserve">approval. </w:t>
      </w:r>
      <w:r w:rsidR="00066419">
        <w:t xml:space="preserve">  If you are unsure whether your plan qualifies as an alternative salary schedule or for additional resources for developing such a plan, contact Laura </w:t>
      </w:r>
      <w:proofErr w:type="spellStart"/>
      <w:r w:rsidR="00066419">
        <w:t>Encalade</w:t>
      </w:r>
      <w:proofErr w:type="spellEnd"/>
      <w:r w:rsidR="00066419">
        <w:t xml:space="preserve"> at </w:t>
      </w:r>
      <w:hyperlink r:id="rId12" w:history="1">
        <w:r w:rsidR="00066419" w:rsidRPr="00B81512">
          <w:rPr>
            <w:rStyle w:val="Hyperlink"/>
          </w:rPr>
          <w:t>Laura.Encalade@tn.gov</w:t>
        </w:r>
      </w:hyperlink>
      <w:r w:rsidR="00066419">
        <w:t xml:space="preserve"> for more information.  Please review the </w:t>
      </w:r>
      <w:hyperlink w:anchor="alt_timeline" w:history="1">
        <w:r w:rsidR="00066419" w:rsidRPr="00542B77">
          <w:rPr>
            <w:rStyle w:val="Hyperlink"/>
          </w:rPr>
          <w:t>specific submission timeline</w:t>
        </w:r>
      </w:hyperlink>
      <w:r w:rsidR="00066419">
        <w:t xml:space="preserve"> for altern</w:t>
      </w:r>
      <w:r w:rsidR="00882183">
        <w:t>ative salary schedules on page 2</w:t>
      </w:r>
      <w:r w:rsidR="00066419">
        <w:t xml:space="preserve">. </w:t>
      </w:r>
    </w:p>
    <w:p w:rsidR="00C82A10" w:rsidRDefault="00C82A10" w:rsidP="00C82A10">
      <w:r>
        <w:t xml:space="preserve">Those districts proposing </w:t>
      </w:r>
      <w:r w:rsidR="00297175">
        <w:t xml:space="preserve">an alternative salary schedule as part of their differentiated pay </w:t>
      </w:r>
      <w:proofErr w:type="gramStart"/>
      <w:r w:rsidR="00297175">
        <w:t>plan,</w:t>
      </w:r>
      <w:proofErr w:type="gramEnd"/>
      <w:r w:rsidR="00297175">
        <w:t xml:space="preserve"> must complete this addendum to provide the department with the additional information needed to present the salary schedule to the </w:t>
      </w:r>
      <w:r w:rsidR="006D2838">
        <w:t>SBE</w:t>
      </w:r>
      <w:r w:rsidR="00297175">
        <w:t xml:space="preserve"> on behalf of the LEA. </w:t>
      </w:r>
      <w:r w:rsidR="00F87D53">
        <w:t xml:space="preserve">  Those districts which already have </w:t>
      </w:r>
      <w:r w:rsidR="006D2838">
        <w:t xml:space="preserve">SBE </w:t>
      </w:r>
      <w:r w:rsidR="00F87D53">
        <w:t>approv</w:t>
      </w:r>
      <w:r w:rsidR="006D2838">
        <w:t xml:space="preserve">ed alternative salary schedules need only to submit a current copy of that plan. </w:t>
      </w:r>
    </w:p>
    <w:p w:rsidR="007A15C5" w:rsidRDefault="00756BC5" w:rsidP="002E1968">
      <w:pPr>
        <w:spacing w:after="0"/>
      </w:pPr>
      <w:r>
        <w:rPr>
          <w:b/>
        </w:rPr>
        <w:t xml:space="preserve">a. </w:t>
      </w:r>
      <w:r w:rsidR="007A15C5" w:rsidRPr="007A15C5">
        <w:rPr>
          <w:b/>
        </w:rPr>
        <w:t>Salary Schedule</w:t>
      </w:r>
    </w:p>
    <w:p w:rsidR="007A15C5" w:rsidRDefault="007A15C5" w:rsidP="002E1968">
      <w:pPr>
        <w:spacing w:after="0"/>
      </w:pPr>
      <w:r>
        <w:t xml:space="preserve">Include both the </w:t>
      </w:r>
      <w:r w:rsidR="00F87D53">
        <w:t>proposed salary schedule and a description of the following:</w:t>
      </w:r>
    </w:p>
    <w:p w:rsidR="00F87D53" w:rsidRDefault="00F87D53" w:rsidP="00F87D53">
      <w:pPr>
        <w:pStyle w:val="ListParagraph"/>
        <w:numPr>
          <w:ilvl w:val="0"/>
          <w:numId w:val="6"/>
        </w:numPr>
      </w:pPr>
      <w:r>
        <w:t>How will base pay changes be determined?</w:t>
      </w:r>
    </w:p>
    <w:p w:rsidR="00F87D53" w:rsidRDefault="00066419" w:rsidP="00F87D53">
      <w:pPr>
        <w:pStyle w:val="ListParagraph"/>
        <w:numPr>
          <w:ilvl w:val="0"/>
          <w:numId w:val="6"/>
        </w:numPr>
      </w:pPr>
      <w:r>
        <w:t>Will existing employees have an opt-out provision for the alternative salary schedule?  If so, when will all employees transition to the alternative salary schedule?</w:t>
      </w:r>
    </w:p>
    <w:p w:rsidR="00F87D53" w:rsidRDefault="00066419" w:rsidP="00F87D53">
      <w:pPr>
        <w:pStyle w:val="ListParagraph"/>
        <w:numPr>
          <w:ilvl w:val="0"/>
          <w:numId w:val="6"/>
        </w:numPr>
      </w:pPr>
      <w:r>
        <w:t>How will the following groups be placed on the alternative salary schedule</w:t>
      </w:r>
      <w:proofErr w:type="gramStart"/>
      <w:r>
        <w:t>?:</w:t>
      </w:r>
      <w:proofErr w:type="gramEnd"/>
    </w:p>
    <w:p w:rsidR="00066419" w:rsidRDefault="00066419" w:rsidP="00066419">
      <w:pPr>
        <w:pStyle w:val="ListParagraph"/>
        <w:numPr>
          <w:ilvl w:val="1"/>
          <w:numId w:val="6"/>
        </w:numPr>
      </w:pPr>
      <w:r>
        <w:t>Existing district employees</w:t>
      </w:r>
    </w:p>
    <w:p w:rsidR="00066419" w:rsidRDefault="00066419" w:rsidP="00066419">
      <w:pPr>
        <w:pStyle w:val="ListParagraph"/>
        <w:numPr>
          <w:ilvl w:val="1"/>
          <w:numId w:val="6"/>
        </w:numPr>
      </w:pPr>
      <w:r>
        <w:t>Educators new to teaching with zero years of experience</w:t>
      </w:r>
    </w:p>
    <w:p w:rsidR="00066419" w:rsidRDefault="00066419" w:rsidP="00066419">
      <w:pPr>
        <w:pStyle w:val="ListParagraph"/>
        <w:numPr>
          <w:ilvl w:val="1"/>
          <w:numId w:val="6"/>
        </w:numPr>
      </w:pPr>
      <w:r>
        <w:t xml:space="preserve">Educators new to the district but with prior experience </w:t>
      </w:r>
    </w:p>
    <w:p w:rsidR="00762134" w:rsidRPr="00311A74" w:rsidRDefault="00756BC5" w:rsidP="002E1968">
      <w:pPr>
        <w:spacing w:after="0"/>
        <w:rPr>
          <w:b/>
        </w:rPr>
      </w:pPr>
      <w:proofErr w:type="gramStart"/>
      <w:r w:rsidRPr="00311A74">
        <w:rPr>
          <w:b/>
        </w:rPr>
        <w:t>b.  Eligibility</w:t>
      </w:r>
      <w:proofErr w:type="gramEnd"/>
      <w:r w:rsidRPr="00311A74">
        <w:rPr>
          <w:b/>
        </w:rPr>
        <w:t xml:space="preserve"> Criteria </w:t>
      </w:r>
    </w:p>
    <w:p w:rsidR="002E1968" w:rsidRDefault="00756BC5" w:rsidP="002E1968">
      <w:pPr>
        <w:spacing w:after="0"/>
      </w:pPr>
      <w:r>
        <w:t xml:space="preserve">If not already included </w:t>
      </w:r>
      <w:r w:rsidR="002E1968">
        <w:t>in Section IV on the previous page</w:t>
      </w:r>
      <w:r w:rsidR="00311A74">
        <w:t>,</w:t>
      </w:r>
      <w:r w:rsidRPr="00756BC5">
        <w:t xml:space="preserve"> </w:t>
      </w:r>
      <w:r w:rsidR="00CF3E88">
        <w:t>describe below or include in an attachment</w:t>
      </w:r>
      <w:r w:rsidR="00CF3E88" w:rsidRPr="00756BC5" w:rsidDel="00CF3E88">
        <w:t xml:space="preserve"> </w:t>
      </w:r>
      <w:r w:rsidRPr="00756BC5">
        <w:t xml:space="preserve">a copy of any eligibility </w:t>
      </w:r>
      <w:r w:rsidR="002E1968">
        <w:t>rules for the alternative salary schedule</w:t>
      </w:r>
      <w:r w:rsidRPr="00756BC5">
        <w:t xml:space="preserve">.  </w:t>
      </w:r>
    </w:p>
    <w:p w:rsidR="002E1968" w:rsidRPr="002E1968" w:rsidRDefault="002E1968" w:rsidP="002E1968">
      <w:pPr>
        <w:spacing w:after="0"/>
      </w:pPr>
    </w:p>
    <w:p w:rsidR="00311A74" w:rsidRDefault="00311A74" w:rsidP="002E1968">
      <w:pPr>
        <w:spacing w:after="0"/>
        <w:rPr>
          <w:b/>
        </w:rPr>
      </w:pPr>
      <w:proofErr w:type="gramStart"/>
      <w:r w:rsidRPr="00311A74">
        <w:rPr>
          <w:b/>
        </w:rPr>
        <w:t>c.  Feasibility</w:t>
      </w:r>
      <w:proofErr w:type="gramEnd"/>
      <w:r w:rsidRPr="00311A74">
        <w:rPr>
          <w:b/>
        </w:rPr>
        <w:t xml:space="preserve"> Analysis</w:t>
      </w:r>
    </w:p>
    <w:p w:rsidR="00311A74" w:rsidRDefault="00066419" w:rsidP="002E1968">
      <w:pPr>
        <w:spacing w:after="0"/>
      </w:pPr>
      <w:r>
        <w:t>Attach evidence using 2012</w:t>
      </w:r>
      <w:r w:rsidR="00311A74">
        <w:t>-</w:t>
      </w:r>
      <w:r w:rsidR="00311A74" w:rsidRPr="007D50FB">
        <w:t>13</w:t>
      </w:r>
      <w:r w:rsidR="00311A74">
        <w:t xml:space="preserve"> data</w:t>
      </w:r>
      <w:r>
        <w:t xml:space="preserve"> (at a minimum) </w:t>
      </w:r>
      <w:r w:rsidR="00311A74">
        <w:t xml:space="preserve">that the alternative salary schedule is financially feasible. </w:t>
      </w:r>
      <w:r w:rsidR="002E1968">
        <w:t xml:space="preserve"> Please reach out to </w:t>
      </w:r>
      <w:hyperlink r:id="rId13" w:history="1">
        <w:r w:rsidR="002E1968" w:rsidRPr="00F42DC3">
          <w:rPr>
            <w:rStyle w:val="Hyperlink"/>
          </w:rPr>
          <w:t>Laura.Encalade@tn.gov</w:t>
        </w:r>
      </w:hyperlink>
      <w:r w:rsidR="002E1968">
        <w:t xml:space="preserve"> for additional information or support in meeting this requirement. </w:t>
      </w:r>
    </w:p>
    <w:p w:rsidR="002E1968" w:rsidRDefault="002E1968" w:rsidP="003366C4">
      <w:pPr>
        <w:rPr>
          <w:b/>
        </w:rPr>
      </w:pPr>
    </w:p>
    <w:p w:rsidR="003366C4" w:rsidRDefault="003366C4" w:rsidP="002E1968">
      <w:pPr>
        <w:spacing w:after="0"/>
        <w:rPr>
          <w:b/>
        </w:rPr>
      </w:pPr>
      <w:proofErr w:type="gramStart"/>
      <w:r w:rsidRPr="00311A74">
        <w:rPr>
          <w:b/>
        </w:rPr>
        <w:t>d.  Stakeholder</w:t>
      </w:r>
      <w:proofErr w:type="gramEnd"/>
      <w:r w:rsidRPr="00311A74">
        <w:rPr>
          <w:b/>
        </w:rPr>
        <w:t xml:space="preserve"> Engagement</w:t>
      </w:r>
    </w:p>
    <w:p w:rsidR="002E1968" w:rsidRDefault="003366C4" w:rsidP="002E1968">
      <w:pPr>
        <w:spacing w:after="0"/>
      </w:pPr>
      <w:r>
        <w:t xml:space="preserve">Include a description of how the district engaged teachers or other stakeholders in the development of the differentiated pay plan.  </w:t>
      </w:r>
      <w:bookmarkStart w:id="3" w:name="appendix_a"/>
    </w:p>
    <w:p w:rsidR="002E1968" w:rsidRDefault="002E1968" w:rsidP="00DA7A4E">
      <w:pPr>
        <w:rPr>
          <w:b/>
        </w:rPr>
      </w:pPr>
    </w:p>
    <w:p w:rsidR="00261866" w:rsidRPr="002E1968" w:rsidRDefault="00261866" w:rsidP="00DA7A4E">
      <w:r>
        <w:rPr>
          <w:b/>
        </w:rPr>
        <w:lastRenderedPageBreak/>
        <w:t>Appendix A</w:t>
      </w:r>
      <w:bookmarkEnd w:id="3"/>
      <w:r>
        <w:rPr>
          <w:b/>
        </w:rPr>
        <w:t xml:space="preserve">:  Common Differentiated Pay Definitions </w:t>
      </w:r>
    </w:p>
    <w:p w:rsidR="00261866" w:rsidRDefault="00261866" w:rsidP="00261866">
      <w:pPr>
        <w:pStyle w:val="ListParagraph"/>
        <w:numPr>
          <w:ilvl w:val="0"/>
          <w:numId w:val="5"/>
        </w:numPr>
      </w:pPr>
      <w:r w:rsidRPr="00312CA4">
        <w:rPr>
          <w:u w:val="single"/>
        </w:rPr>
        <w:t>Base pay (base salary):</w:t>
      </w:r>
      <w:r>
        <w:t xml:space="preserve">  An individual’s salary</w:t>
      </w:r>
      <w:r w:rsidRPr="00227F96">
        <w:t xml:space="preserve"> </w:t>
      </w:r>
      <w:r>
        <w:t>excluding any additional compensation in the form of bonuses, stipends, or supplements for additional work or responsibilities.</w:t>
      </w:r>
    </w:p>
    <w:p w:rsidR="00261866" w:rsidRDefault="00261866" w:rsidP="00261866">
      <w:pPr>
        <w:pStyle w:val="ListParagraph"/>
      </w:pPr>
    </w:p>
    <w:p w:rsidR="00261866" w:rsidRDefault="00261866" w:rsidP="00C74479">
      <w:pPr>
        <w:pStyle w:val="ListParagraph"/>
        <w:numPr>
          <w:ilvl w:val="0"/>
          <w:numId w:val="5"/>
        </w:numPr>
      </w:pPr>
      <w:r w:rsidRPr="00312CA4">
        <w:rPr>
          <w:u w:val="single"/>
        </w:rPr>
        <w:t>Bonus</w:t>
      </w:r>
      <w:r w:rsidR="00DA7A4E">
        <w:rPr>
          <w:u w:val="single"/>
        </w:rPr>
        <w:t>/stipend</w:t>
      </w:r>
      <w:r>
        <w:t xml:space="preserve">:  Additional compensation for </w:t>
      </w:r>
      <w:r w:rsidR="00C74479">
        <w:t xml:space="preserve">a </w:t>
      </w:r>
      <w:r>
        <w:t>pre-defined set of cri</w:t>
      </w:r>
      <w:r w:rsidR="00C74479">
        <w:t>teria.  Bonus and stipend pay are</w:t>
      </w:r>
      <w:r>
        <w:t xml:space="preserve"> awarded in addition to or “on top of” an individual’s base pay.   Bonuses/stipends are one-time payments awarded for a specific role, additional responsibility, or achievement </w:t>
      </w:r>
      <w:r w:rsidR="00C74479">
        <w:t xml:space="preserve">of </w:t>
      </w:r>
      <w:r>
        <w:t xml:space="preserve">particular criteria.  Bonuses and stipends </w:t>
      </w:r>
      <w:r w:rsidR="00DA7A4E">
        <w:t xml:space="preserve">are not a part of base salary and </w:t>
      </w:r>
      <w:r>
        <w:t>do not become</w:t>
      </w:r>
      <w:r w:rsidR="00DA7A4E">
        <w:t xml:space="preserve"> a reoccurring</w:t>
      </w:r>
      <w:r>
        <w:t xml:space="preserve"> part of an individual’s</w:t>
      </w:r>
      <w:r w:rsidR="00DA7A4E">
        <w:t xml:space="preserve"> compensation</w:t>
      </w:r>
      <w:r>
        <w:t xml:space="preserve">. </w:t>
      </w:r>
    </w:p>
    <w:p w:rsidR="00261866" w:rsidRDefault="00261866" w:rsidP="00261866">
      <w:pPr>
        <w:pStyle w:val="ListParagraph"/>
      </w:pPr>
    </w:p>
    <w:p w:rsidR="00261866" w:rsidRDefault="00261866" w:rsidP="00261866">
      <w:pPr>
        <w:pStyle w:val="ListParagraph"/>
        <w:numPr>
          <w:ilvl w:val="0"/>
          <w:numId w:val="5"/>
        </w:numPr>
      </w:pPr>
      <w:r w:rsidRPr="00A07424">
        <w:rPr>
          <w:u w:val="single"/>
        </w:rPr>
        <w:t>Traditional salary schedule (or step and lane schedule)</w:t>
      </w:r>
      <w:r>
        <w:t xml:space="preserve">:  A salary schedule that uses years of </w:t>
      </w:r>
      <w:r w:rsidR="00440684">
        <w:t xml:space="preserve">experience </w:t>
      </w:r>
      <w:r>
        <w:t xml:space="preserve">and education levels exclusively to determine </w:t>
      </w:r>
      <w:r w:rsidR="00440684">
        <w:t xml:space="preserve">educator’s </w:t>
      </w:r>
      <w:r>
        <w:t>increases in base pay.</w:t>
      </w:r>
      <w:r w:rsidR="00440684">
        <w:t xml:space="preserve">  Traditional schedules may follow the same </w:t>
      </w:r>
      <w:r w:rsidR="00DA7A4E">
        <w:t>structure as</w:t>
      </w:r>
      <w:r w:rsidR="00440684">
        <w:t xml:space="preserve"> the state minimum salary schedule.  Salary schedules that modify the amount of the step increases given for experience or change</w:t>
      </w:r>
      <w:r w:rsidR="00882183">
        <w:t xml:space="preserve"> </w:t>
      </w:r>
      <w:r w:rsidR="00440684">
        <w:t>the structure of the e</w:t>
      </w:r>
      <w:r w:rsidR="00542B77">
        <w:t>ducation</w:t>
      </w:r>
      <w:r w:rsidR="00440684">
        <w:t xml:space="preserve"> lanes may still be considered a traditional schedule as long as they meet or exceed the relevant state minimums. </w:t>
      </w:r>
    </w:p>
    <w:p w:rsidR="00261866" w:rsidRDefault="00261866" w:rsidP="00261866">
      <w:pPr>
        <w:pStyle w:val="ListParagraph"/>
      </w:pPr>
    </w:p>
    <w:p w:rsidR="00261866" w:rsidRDefault="00261866" w:rsidP="00261866">
      <w:pPr>
        <w:pStyle w:val="ListParagraph"/>
        <w:numPr>
          <w:ilvl w:val="0"/>
          <w:numId w:val="5"/>
        </w:numPr>
      </w:pPr>
      <w:bookmarkStart w:id="4" w:name="Alternative"/>
      <w:r w:rsidRPr="00A07424">
        <w:rPr>
          <w:u w:val="single"/>
        </w:rPr>
        <w:t>Alternative salary schedule</w:t>
      </w:r>
      <w:r w:rsidR="00882183">
        <w:rPr>
          <w:rStyle w:val="FootnoteReference"/>
          <w:u w:val="single"/>
        </w:rPr>
        <w:footnoteReference w:id="1"/>
      </w:r>
      <w:r w:rsidRPr="00A07424">
        <w:rPr>
          <w:u w:val="single"/>
        </w:rPr>
        <w:t>:</w:t>
      </w:r>
      <w:bookmarkEnd w:id="4"/>
      <w:r w:rsidR="00882183">
        <w:t xml:space="preserve">   A salary schedule that </w:t>
      </w:r>
      <w:r>
        <w:t xml:space="preserve">uses some other component, often a performance measure, </w:t>
      </w:r>
      <w:r w:rsidR="00542B77">
        <w:t>in addition</w:t>
      </w:r>
      <w:r w:rsidR="00DA7A4E">
        <w:t xml:space="preserve"> to or in place of</w:t>
      </w:r>
      <w:r>
        <w:t xml:space="preserve"> education and e</w:t>
      </w:r>
      <w:r w:rsidR="00882183">
        <w:t xml:space="preserve">xperience to determine base pay. </w:t>
      </w:r>
      <w:r w:rsidR="00C74479">
        <w:t xml:space="preserve">  </w:t>
      </w:r>
      <w:r w:rsidR="00DA7A4E">
        <w:t>A schedule</w:t>
      </w:r>
      <w:r w:rsidR="00C74479">
        <w:t xml:space="preserve"> where an educator’s evaluation score is used to determine the amount </w:t>
      </w:r>
      <w:r w:rsidR="00882183">
        <w:t>of his or her</w:t>
      </w:r>
      <w:r w:rsidR="00C74479">
        <w:t xml:space="preserve"> yearly base pay increase</w:t>
      </w:r>
      <w:r w:rsidR="00DA7A4E">
        <w:t xml:space="preserve"> is an example of an alternative salary schedule</w:t>
      </w:r>
      <w:r w:rsidR="00C74479">
        <w:t xml:space="preserve">.  </w:t>
      </w:r>
      <w:r w:rsidR="00882183">
        <w:t xml:space="preserve"> Alternative salary schedules are subject to State Board of Education approval. </w:t>
      </w:r>
    </w:p>
    <w:p w:rsidR="00261866" w:rsidRPr="00A07424" w:rsidRDefault="00261866" w:rsidP="00261866">
      <w:pPr>
        <w:pStyle w:val="ListParagraph"/>
      </w:pPr>
    </w:p>
    <w:p w:rsidR="00C74479" w:rsidRPr="00C74479" w:rsidRDefault="00C74479" w:rsidP="00261866">
      <w:pPr>
        <w:pStyle w:val="ListParagraph"/>
        <w:numPr>
          <w:ilvl w:val="0"/>
          <w:numId w:val="5"/>
        </w:numPr>
      </w:pPr>
      <w:r w:rsidRPr="00C74479">
        <w:rPr>
          <w:u w:val="single"/>
        </w:rPr>
        <w:t>Opt-in/opt-out provision</w:t>
      </w:r>
      <w:r>
        <w:t xml:space="preserve">:  Individuals are provided with the choice to participate in </w:t>
      </w:r>
      <w:r w:rsidR="00DA7A4E">
        <w:t xml:space="preserve">a program.  This provision is most often associated with alternative salary schedules and is not a required provision. </w:t>
      </w:r>
    </w:p>
    <w:p w:rsidR="00440684" w:rsidRPr="00440684" w:rsidRDefault="00440684" w:rsidP="00440684">
      <w:pPr>
        <w:pStyle w:val="ListParagraph"/>
      </w:pPr>
    </w:p>
    <w:p w:rsidR="00DA7A4E" w:rsidRDefault="00DA7A4E">
      <w:pPr>
        <w:rPr>
          <w:b/>
        </w:rPr>
      </w:pPr>
      <w:bookmarkStart w:id="5" w:name="appendix_b"/>
      <w:r>
        <w:rPr>
          <w:b/>
        </w:rPr>
        <w:br w:type="page"/>
      </w:r>
    </w:p>
    <w:p w:rsidR="00915CEB" w:rsidRPr="00DA7A4E" w:rsidRDefault="00261866" w:rsidP="00DA7A4E">
      <w:r w:rsidRPr="00DA7A4E">
        <w:rPr>
          <w:b/>
        </w:rPr>
        <w:lastRenderedPageBreak/>
        <w:t>Appendix B</w:t>
      </w:r>
      <w:bookmarkEnd w:id="5"/>
      <w:r w:rsidRPr="00DA7A4E">
        <w:rPr>
          <w:b/>
        </w:rPr>
        <w:t xml:space="preserve">:  </w:t>
      </w:r>
      <w:r w:rsidR="00915CEB" w:rsidRPr="00DA7A4E">
        <w:rPr>
          <w:b/>
        </w:rPr>
        <w:t xml:space="preserve"> Sample Differentiated Pay Plan Table </w:t>
      </w:r>
    </w:p>
    <w:p w:rsidR="004B6064" w:rsidRPr="004B6064" w:rsidRDefault="004B6064" w:rsidP="00C82A10">
      <w:r>
        <w:t xml:space="preserve">Note that these examples are for purposes of explaining </w:t>
      </w:r>
      <w:r w:rsidR="00E14063">
        <w:t>HOW TO</w:t>
      </w:r>
      <w:r>
        <w:t xml:space="preserve"> complete each of the table criteria.  The</w:t>
      </w:r>
      <w:r w:rsidR="00E14063">
        <w:t xml:space="preserve">se examples are NOT intended to be recommendations or endorsements </w:t>
      </w:r>
      <w:r>
        <w:t xml:space="preserve">for </w:t>
      </w:r>
      <w:r w:rsidR="00E14063">
        <w:t xml:space="preserve">specific </w:t>
      </w:r>
      <w:r>
        <w:t xml:space="preserve">differentiated pay elements.  Districts are required to differentiate pay for </w:t>
      </w:r>
      <w:r w:rsidRPr="004B6064">
        <w:rPr>
          <w:b/>
          <w:u w:val="single"/>
        </w:rPr>
        <w:t>at least one element</w:t>
      </w:r>
      <w:r w:rsidR="00E14063">
        <w:rPr>
          <w:b/>
          <w:u w:val="single"/>
        </w:rPr>
        <w:t xml:space="preserve"> </w:t>
      </w:r>
      <w:r w:rsidR="00D234C7" w:rsidRPr="00F02C4F">
        <w:rPr>
          <w:u w:val="single"/>
        </w:rPr>
        <w:t>in addition to education and experience.</w:t>
      </w:r>
      <w:r>
        <w:t xml:space="preserve">  </w:t>
      </w:r>
      <w:r w:rsidR="00E14063">
        <w:t>Because</w:t>
      </w:r>
      <w:r w:rsidR="00F02C4F">
        <w:t xml:space="preserve"> </w:t>
      </w:r>
      <w:r>
        <w:t xml:space="preserve">plans may include a combination of several elements, </w:t>
      </w:r>
      <w:r w:rsidR="00E14063">
        <w:t xml:space="preserve">please </w:t>
      </w:r>
      <w:r>
        <w:t xml:space="preserve">add rows or repeat differentiated elements as needed.  </w:t>
      </w:r>
      <w:r w:rsidR="00E14063">
        <w:t xml:space="preserve">Please feel free to </w:t>
      </w:r>
      <w:r>
        <w:t xml:space="preserve">delete from the table any differentiated elements that will not be used in </w:t>
      </w:r>
      <w:r w:rsidR="00E14063">
        <w:t xml:space="preserve">the district’s </w:t>
      </w:r>
      <w:r>
        <w:t xml:space="preserve">plan.  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2880"/>
        <w:gridCol w:w="2790"/>
        <w:gridCol w:w="1890"/>
        <w:gridCol w:w="1890"/>
      </w:tblGrid>
      <w:tr w:rsidR="00915CEB" w:rsidRPr="008E7BD4" w:rsidTr="00C03FE6">
        <w:tc>
          <w:tcPr>
            <w:tcW w:w="1548" w:type="dxa"/>
            <w:shd w:val="clear" w:color="auto" w:fill="1F497D" w:themeFill="text2"/>
          </w:tcPr>
          <w:p w:rsidR="00915CEB" w:rsidRPr="008E7BD4" w:rsidRDefault="00915CEB" w:rsidP="00C03FE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E7BD4">
              <w:rPr>
                <w:b/>
                <w:color w:val="FFFFFF" w:themeColor="background1"/>
                <w:sz w:val="20"/>
              </w:rPr>
              <w:t>Differentiated Element</w:t>
            </w:r>
          </w:p>
        </w:tc>
        <w:tc>
          <w:tcPr>
            <w:tcW w:w="2970" w:type="dxa"/>
            <w:shd w:val="clear" w:color="auto" w:fill="1F497D" w:themeFill="text2"/>
          </w:tcPr>
          <w:p w:rsidR="00915CEB" w:rsidRPr="008E7BD4" w:rsidRDefault="00915CEB" w:rsidP="00C03FE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E7BD4">
              <w:rPr>
                <w:b/>
                <w:color w:val="FFFFFF" w:themeColor="background1"/>
                <w:sz w:val="20"/>
              </w:rPr>
              <w:t>Description</w:t>
            </w:r>
          </w:p>
        </w:tc>
        <w:tc>
          <w:tcPr>
            <w:tcW w:w="2880" w:type="dxa"/>
            <w:shd w:val="clear" w:color="auto" w:fill="1F497D" w:themeFill="text2"/>
          </w:tcPr>
          <w:p w:rsidR="00915CEB" w:rsidRPr="008E7BD4" w:rsidRDefault="00915CEB" w:rsidP="00C03FE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E7BD4">
              <w:rPr>
                <w:b/>
                <w:color w:val="FFFFFF" w:themeColor="background1"/>
                <w:sz w:val="20"/>
              </w:rPr>
              <w:t xml:space="preserve">Compensation Type and Size </w:t>
            </w:r>
          </w:p>
        </w:tc>
        <w:tc>
          <w:tcPr>
            <w:tcW w:w="2790" w:type="dxa"/>
            <w:shd w:val="clear" w:color="auto" w:fill="1F497D" w:themeFill="text2"/>
          </w:tcPr>
          <w:p w:rsidR="00915CEB" w:rsidRPr="008E7BD4" w:rsidRDefault="00915CEB" w:rsidP="00C03FE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E7BD4">
              <w:rPr>
                <w:b/>
                <w:color w:val="FFFFFF" w:themeColor="background1"/>
                <w:sz w:val="20"/>
              </w:rPr>
              <w:t>Reach</w:t>
            </w:r>
          </w:p>
        </w:tc>
        <w:tc>
          <w:tcPr>
            <w:tcW w:w="1890" w:type="dxa"/>
            <w:shd w:val="clear" w:color="auto" w:fill="1F497D" w:themeFill="text2"/>
          </w:tcPr>
          <w:p w:rsidR="00915CEB" w:rsidRPr="008E7BD4" w:rsidRDefault="00915CEB" w:rsidP="00C03FE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E7BD4">
              <w:rPr>
                <w:b/>
                <w:color w:val="FFFFFF" w:themeColor="background1"/>
                <w:sz w:val="20"/>
              </w:rPr>
              <w:t>Estimated Cost</w:t>
            </w:r>
          </w:p>
        </w:tc>
        <w:tc>
          <w:tcPr>
            <w:tcW w:w="1890" w:type="dxa"/>
            <w:shd w:val="clear" w:color="auto" w:fill="1F497D" w:themeFill="text2"/>
          </w:tcPr>
          <w:p w:rsidR="00915CEB" w:rsidRPr="008E7BD4" w:rsidRDefault="00915CEB" w:rsidP="00C03FE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E7BD4">
              <w:rPr>
                <w:b/>
                <w:color w:val="FFFFFF" w:themeColor="background1"/>
                <w:sz w:val="20"/>
              </w:rPr>
              <w:t>Salary Expenditures</w:t>
            </w:r>
          </w:p>
        </w:tc>
      </w:tr>
      <w:tr w:rsidR="00915CEB" w:rsidRPr="008E7BD4" w:rsidTr="00C03FE6">
        <w:tc>
          <w:tcPr>
            <w:tcW w:w="1548" w:type="dxa"/>
            <w:shd w:val="clear" w:color="auto" w:fill="8DB3E2" w:themeFill="text2" w:themeFillTint="66"/>
          </w:tcPr>
          <w:p w:rsidR="00915CEB" w:rsidRPr="008E7BD4" w:rsidRDefault="00915CEB" w:rsidP="00C03FE6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shd w:val="clear" w:color="auto" w:fill="8DB3E2" w:themeFill="text2" w:themeFillTint="66"/>
          </w:tcPr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  <w:r w:rsidRPr="008E7BD4">
              <w:rPr>
                <w:b/>
                <w:i/>
                <w:sz w:val="20"/>
              </w:rPr>
              <w:t xml:space="preserve">Describe how the district will differentiate for this element. </w:t>
            </w:r>
          </w:p>
          <w:p w:rsidR="00915CEB" w:rsidRPr="008E7BD4" w:rsidRDefault="00915CEB" w:rsidP="00C03FE6">
            <w:pPr>
              <w:jc w:val="center"/>
              <w:rPr>
                <w:b/>
                <w:i/>
                <w:sz w:val="20"/>
              </w:rPr>
            </w:pPr>
          </w:p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  <w:r w:rsidRPr="008E7BD4">
              <w:rPr>
                <w:b/>
                <w:i/>
                <w:sz w:val="20"/>
              </w:rPr>
              <w:t>Include the criteria for receiving the award.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  <w:r w:rsidRPr="008E7BD4">
              <w:rPr>
                <w:b/>
                <w:i/>
                <w:sz w:val="20"/>
              </w:rPr>
              <w:t>Will the compensation be given as a bonus</w:t>
            </w:r>
            <w:r w:rsidR="009879A9">
              <w:rPr>
                <w:b/>
                <w:i/>
                <w:sz w:val="20"/>
              </w:rPr>
              <w:t>, stipend,</w:t>
            </w:r>
            <w:r w:rsidRPr="008E7BD4">
              <w:rPr>
                <w:b/>
                <w:i/>
                <w:sz w:val="20"/>
              </w:rPr>
              <w:t xml:space="preserve"> or a base pay increase?  </w:t>
            </w:r>
          </w:p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</w:p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  <w:r w:rsidRPr="008E7BD4">
              <w:rPr>
                <w:b/>
                <w:i/>
                <w:sz w:val="20"/>
              </w:rPr>
              <w:t>How much will qualifying teachers receive?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  <w:r w:rsidRPr="008E7BD4">
              <w:rPr>
                <w:b/>
                <w:i/>
                <w:sz w:val="20"/>
              </w:rPr>
              <w:t xml:space="preserve">Eligibility:  How many teachers are eligible for this type of compensation?  </w:t>
            </w:r>
          </w:p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</w:p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  <w:r w:rsidRPr="008E7BD4">
              <w:rPr>
                <w:b/>
                <w:i/>
                <w:sz w:val="20"/>
              </w:rPr>
              <w:t>Forecasted participation:  How many teachers do you estimate will receive the award?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  <w:r w:rsidRPr="008E7BD4">
              <w:rPr>
                <w:b/>
                <w:i/>
                <w:sz w:val="20"/>
              </w:rPr>
              <w:t xml:space="preserve">How much does the district estimate it </w:t>
            </w:r>
            <w:proofErr w:type="gramStart"/>
            <w:r w:rsidRPr="008E7BD4">
              <w:rPr>
                <w:b/>
                <w:i/>
                <w:sz w:val="20"/>
              </w:rPr>
              <w:t>will</w:t>
            </w:r>
            <w:proofErr w:type="gramEnd"/>
            <w:r w:rsidRPr="008E7BD4">
              <w:rPr>
                <w:b/>
                <w:i/>
                <w:sz w:val="20"/>
              </w:rPr>
              <w:t xml:space="preserve"> payout for this differentiated pay element?</w:t>
            </w:r>
          </w:p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</w:p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</w:p>
        </w:tc>
        <w:tc>
          <w:tcPr>
            <w:tcW w:w="1890" w:type="dxa"/>
            <w:shd w:val="clear" w:color="auto" w:fill="8DB3E2" w:themeFill="text2" w:themeFillTint="66"/>
          </w:tcPr>
          <w:p w:rsidR="00915CEB" w:rsidRPr="008E7BD4" w:rsidRDefault="00915CEB" w:rsidP="00C03FE6">
            <w:pPr>
              <w:rPr>
                <w:b/>
                <w:i/>
                <w:sz w:val="20"/>
              </w:rPr>
            </w:pPr>
            <w:r w:rsidRPr="008E7BD4">
              <w:rPr>
                <w:b/>
                <w:i/>
                <w:sz w:val="20"/>
              </w:rPr>
              <w:t>What percentage of salary expenditures (excluding benefit costs) does this element cover?</w:t>
            </w:r>
          </w:p>
        </w:tc>
      </w:tr>
      <w:tr w:rsidR="00915CEB" w:rsidRPr="008E7BD4" w:rsidTr="00C03FE6">
        <w:tc>
          <w:tcPr>
            <w:tcW w:w="1548" w:type="dxa"/>
          </w:tcPr>
          <w:p w:rsidR="00915CEB" w:rsidRPr="008E7BD4" w:rsidRDefault="00915CEB" w:rsidP="00C03FE6">
            <w:pPr>
              <w:rPr>
                <w:b/>
                <w:sz w:val="20"/>
              </w:rPr>
            </w:pPr>
            <w:r w:rsidRPr="008E7BD4">
              <w:rPr>
                <w:b/>
                <w:sz w:val="20"/>
              </w:rPr>
              <w:t>Hard-to-Staff (School, Subject, or Placement)</w:t>
            </w:r>
          </w:p>
        </w:tc>
        <w:tc>
          <w:tcPr>
            <w:tcW w:w="2970" w:type="dxa"/>
          </w:tcPr>
          <w:p w:rsidR="00915CEB" w:rsidRPr="008E7BD4" w:rsidRDefault="00F02C4F" w:rsidP="00C03FE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B1531A1" wp14:editId="371DC76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676275</wp:posOffset>
                      </wp:positionV>
                      <wp:extent cx="5796915" cy="1956435"/>
                      <wp:effectExtent l="0" t="1581150" r="0" b="15868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204996">
                                <a:off x="0" y="0"/>
                                <a:ext cx="5796915" cy="1956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CEB" w:rsidRPr="00382D27" w:rsidRDefault="00915CEB" w:rsidP="00915CEB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382D27"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pt;margin-top:53.25pt;width:456.45pt;height:154.05pt;rotation:-261598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" filled="f" stroked="f">
                      <v:textbox>
                        <w:txbxContent>
                          <w:p w:rsidR="00915CEB" w:rsidRPr="00382D27" w:rsidRDefault="00915CEB" w:rsidP="00915CEB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382D27"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CEB" w:rsidRPr="008E7BD4">
              <w:rPr>
                <w:sz w:val="20"/>
              </w:rPr>
              <w:t xml:space="preserve">The district will offer a signing bonus and retention bonus in the hard-to-staff area of secondary math.  This will include positions in Algebra II, Pre-Calculus, and Calculus. </w:t>
            </w:r>
          </w:p>
        </w:tc>
        <w:tc>
          <w:tcPr>
            <w:tcW w:w="288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The award will be given as a two-part bonus.  $1,000 at the time of signing and an additional $2,000 at end of the school year when evidence of satisfactory evaluation results are also available.   </w:t>
            </w:r>
          </w:p>
        </w:tc>
        <w:tc>
          <w:tcPr>
            <w:tcW w:w="279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This award will be available to new teachers to the district.  The district typically hires 2 positions per school year in the areas defined.  </w:t>
            </w:r>
          </w:p>
          <w:p w:rsidR="00915CEB" w:rsidRPr="008E7BD4" w:rsidRDefault="00915CEB" w:rsidP="00C03FE6">
            <w:pPr>
              <w:rPr>
                <w:sz w:val="20"/>
              </w:rPr>
            </w:pPr>
          </w:p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Existing teachers (3) in the subjects defined will also be eligible for the same bonus as a retention incentive. </w:t>
            </w:r>
          </w:p>
        </w:tc>
        <w:tc>
          <w:tcPr>
            <w:tcW w:w="189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>The estimated total for this is $15,000 (5 teachers at $3,000 each).</w:t>
            </w:r>
          </w:p>
          <w:p w:rsidR="00915CEB" w:rsidRPr="008E7BD4" w:rsidRDefault="00915CEB" w:rsidP="00C03FE6">
            <w:pPr>
              <w:rPr>
                <w:sz w:val="20"/>
              </w:rPr>
            </w:pPr>
          </w:p>
          <w:p w:rsidR="00915CEB" w:rsidRPr="008E7BD4" w:rsidRDefault="00915CEB" w:rsidP="00C03FE6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>This award makes up less than 2% of the district’s annual salary costs.</w:t>
            </w:r>
          </w:p>
        </w:tc>
      </w:tr>
      <w:tr w:rsidR="00915CEB" w:rsidRPr="008E7BD4" w:rsidTr="00C03FE6">
        <w:tc>
          <w:tcPr>
            <w:tcW w:w="1548" w:type="dxa"/>
          </w:tcPr>
          <w:p w:rsidR="00915CEB" w:rsidRPr="008E7BD4" w:rsidRDefault="00915CEB" w:rsidP="00C03FE6">
            <w:pPr>
              <w:rPr>
                <w:b/>
                <w:sz w:val="20"/>
              </w:rPr>
            </w:pPr>
            <w:r w:rsidRPr="008E7BD4">
              <w:rPr>
                <w:b/>
                <w:sz w:val="20"/>
              </w:rPr>
              <w:t>Performance</w:t>
            </w:r>
          </w:p>
        </w:tc>
        <w:tc>
          <w:tcPr>
            <w:tcW w:w="2970" w:type="dxa"/>
          </w:tcPr>
          <w:p w:rsidR="00915CEB" w:rsidRPr="008E7BD4" w:rsidRDefault="00915CEB" w:rsidP="00382D27">
            <w:pPr>
              <w:rPr>
                <w:sz w:val="20"/>
              </w:rPr>
            </w:pPr>
            <w:r w:rsidRPr="008E7BD4">
              <w:rPr>
                <w:sz w:val="20"/>
              </w:rPr>
              <w:t>The district will incorporate a new salary schedule that uses evaluation criteria to determine base pay changes</w:t>
            </w:r>
            <w:r w:rsidR="00382D27">
              <w:rPr>
                <w:rStyle w:val="FootnoteReference"/>
                <w:sz w:val="20"/>
              </w:rPr>
              <w:footnoteReference w:id="2"/>
            </w:r>
            <w:r w:rsidRPr="008E7BD4">
              <w:rPr>
                <w:sz w:val="20"/>
              </w:rPr>
              <w:t>.  A full description of the new schedule is attached in the addendum.</w:t>
            </w:r>
          </w:p>
        </w:tc>
        <w:tc>
          <w:tcPr>
            <w:tcW w:w="288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Teachers who receive a 3 will receive a base pay increase of </w:t>
            </w:r>
            <w:r w:rsidR="004B6064">
              <w:rPr>
                <w:sz w:val="20"/>
              </w:rPr>
              <w:t xml:space="preserve">3- </w:t>
            </w:r>
            <w:r w:rsidRPr="008E7BD4">
              <w:rPr>
                <w:sz w:val="20"/>
              </w:rPr>
              <w:t>$300, 4-$500, 5-$700.  Those teachers receiving a 1 or 2 will not increase their base pay.</w:t>
            </w:r>
          </w:p>
          <w:p w:rsidR="00915CEB" w:rsidRPr="008E7BD4" w:rsidRDefault="00915CEB" w:rsidP="00C03FE6">
            <w:pPr>
              <w:tabs>
                <w:tab w:val="left" w:pos="1905"/>
              </w:tabs>
              <w:rPr>
                <w:sz w:val="20"/>
              </w:rPr>
            </w:pPr>
            <w:r w:rsidRPr="008E7BD4">
              <w:rPr>
                <w:sz w:val="20"/>
              </w:rPr>
              <w:tab/>
            </w:r>
          </w:p>
        </w:tc>
        <w:tc>
          <w:tcPr>
            <w:tcW w:w="279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All teachers (150) are eligible to receive the award. </w:t>
            </w:r>
          </w:p>
          <w:p w:rsidR="00915CEB" w:rsidRPr="008E7BD4" w:rsidRDefault="00915CEB" w:rsidP="00C03FE6">
            <w:pPr>
              <w:rPr>
                <w:sz w:val="20"/>
              </w:rPr>
            </w:pPr>
          </w:p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A copy of the complete eligibility rules is attached.  </w:t>
            </w:r>
          </w:p>
          <w:p w:rsidR="00915CEB" w:rsidRPr="008E7BD4" w:rsidRDefault="00915CEB" w:rsidP="00C03FE6">
            <w:pPr>
              <w:rPr>
                <w:sz w:val="20"/>
              </w:rPr>
            </w:pPr>
          </w:p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Based on the last two years of evaluation data, the district anticipates between 80-85% of </w:t>
            </w:r>
            <w:r w:rsidRPr="008E7BD4">
              <w:rPr>
                <w:sz w:val="20"/>
              </w:rPr>
              <w:lastRenderedPageBreak/>
              <w:t xml:space="preserve">teachers will receive a base pay change.    </w:t>
            </w:r>
          </w:p>
        </w:tc>
        <w:tc>
          <w:tcPr>
            <w:tcW w:w="1890" w:type="dxa"/>
          </w:tcPr>
          <w:p w:rsidR="004B6064" w:rsidRDefault="00915CEB" w:rsidP="004B6064">
            <w:pPr>
              <w:rPr>
                <w:sz w:val="20"/>
              </w:rPr>
            </w:pPr>
            <w:r w:rsidRPr="008E7BD4">
              <w:rPr>
                <w:sz w:val="20"/>
              </w:rPr>
              <w:lastRenderedPageBreak/>
              <w:t>The district antic</w:t>
            </w:r>
            <w:r w:rsidR="004B6064">
              <w:rPr>
                <w:sz w:val="20"/>
              </w:rPr>
              <w:t>ipates the total cost to be $40,000 based on last year’s evaluation data.</w:t>
            </w:r>
          </w:p>
          <w:p w:rsidR="004B6064" w:rsidRDefault="004B6064" w:rsidP="004B6064">
            <w:pPr>
              <w:rPr>
                <w:sz w:val="20"/>
              </w:rPr>
            </w:pPr>
          </w:p>
          <w:p w:rsidR="00915CEB" w:rsidRPr="008E7BD4" w:rsidRDefault="004B6064" w:rsidP="004B6064">
            <w:pPr>
              <w:rPr>
                <w:sz w:val="20"/>
              </w:rPr>
            </w:pPr>
            <w:r>
              <w:rPr>
                <w:sz w:val="20"/>
              </w:rPr>
              <w:t xml:space="preserve">The district will sustain this cost by removing base pay </w:t>
            </w:r>
            <w:r>
              <w:rPr>
                <w:sz w:val="20"/>
              </w:rPr>
              <w:lastRenderedPageBreak/>
              <w:t xml:space="preserve">increases for Level 1 and 2 teachers. </w:t>
            </w:r>
          </w:p>
        </w:tc>
        <w:tc>
          <w:tcPr>
            <w:tcW w:w="189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lastRenderedPageBreak/>
              <w:t xml:space="preserve">These payouts will form close to 100% percent of salary costs, with the exception of some career ladder and other supplements. </w:t>
            </w:r>
          </w:p>
          <w:p w:rsidR="00915CEB" w:rsidRPr="008E7BD4" w:rsidRDefault="00915CEB" w:rsidP="00C03FE6">
            <w:pPr>
              <w:rPr>
                <w:sz w:val="20"/>
              </w:rPr>
            </w:pPr>
          </w:p>
        </w:tc>
      </w:tr>
      <w:tr w:rsidR="00915CEB" w:rsidRPr="008E7BD4" w:rsidTr="00C03FE6">
        <w:trPr>
          <w:trHeight w:val="260"/>
        </w:trPr>
        <w:tc>
          <w:tcPr>
            <w:tcW w:w="1548" w:type="dxa"/>
          </w:tcPr>
          <w:p w:rsidR="00915CEB" w:rsidRPr="008E7BD4" w:rsidRDefault="00915CEB" w:rsidP="00C03FE6">
            <w:pPr>
              <w:rPr>
                <w:b/>
                <w:sz w:val="20"/>
              </w:rPr>
            </w:pPr>
            <w:r w:rsidRPr="008E7BD4">
              <w:rPr>
                <w:b/>
                <w:sz w:val="20"/>
              </w:rPr>
              <w:lastRenderedPageBreak/>
              <w:t xml:space="preserve">Additional Instructional Roles or Responsibilities </w:t>
            </w:r>
          </w:p>
        </w:tc>
        <w:tc>
          <w:tcPr>
            <w:tcW w:w="297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The district will further its implementation of PLCs through the creation of a PLC leadership role.  </w:t>
            </w:r>
          </w:p>
          <w:p w:rsidR="00915CEB" w:rsidRPr="008E7BD4" w:rsidRDefault="00915CEB" w:rsidP="00C03FE6">
            <w:pPr>
              <w:rPr>
                <w:sz w:val="20"/>
              </w:rPr>
            </w:pPr>
          </w:p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Highly effective teachers (scores of 4 or 5) will receive a stipend to lead and facilitate the monthly PLC meetings. </w:t>
            </w:r>
          </w:p>
          <w:p w:rsidR="00915CEB" w:rsidRPr="008E7BD4" w:rsidRDefault="00382D27" w:rsidP="00C03FE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C779310" wp14:editId="62517BB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90805</wp:posOffset>
                      </wp:positionV>
                      <wp:extent cx="5796915" cy="2108200"/>
                      <wp:effectExtent l="0" t="1562100" r="0" b="15684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204996">
                                <a:off x="0" y="0"/>
                                <a:ext cx="5796915" cy="210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7D9" w:rsidRPr="00382D27" w:rsidRDefault="008957D9" w:rsidP="008957D9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382D27"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7.75pt;margin-top:7.15pt;width:456.45pt;height:166pt;rotation:-2615983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" filled="f" stroked="f">
                      <v:textbox>
                        <w:txbxContent>
                          <w:p w:rsidR="008957D9" w:rsidRPr="00382D27" w:rsidRDefault="008957D9" w:rsidP="008957D9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382D27"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5CEB" w:rsidRPr="008E7BD4" w:rsidRDefault="00915CEB" w:rsidP="00C03FE6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The award will be given yearly in the form of a $1,000 stipend.  </w:t>
            </w:r>
          </w:p>
        </w:tc>
        <w:tc>
          <w:tcPr>
            <w:tcW w:w="279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Any teacher who receives a 4 or 5 on their evaluation would be eligible to apply for the position.  District and school leaders will then screen for additional qualities like leadership and facilitation skills. (Draft job description is attached.)  </w:t>
            </w:r>
          </w:p>
          <w:p w:rsidR="00915CEB" w:rsidRPr="008E7BD4" w:rsidRDefault="00915CEB" w:rsidP="00C03FE6">
            <w:pPr>
              <w:rPr>
                <w:sz w:val="20"/>
              </w:rPr>
            </w:pPr>
          </w:p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>There will be a total of 20 PLC leaders in the district:</w:t>
            </w:r>
          </w:p>
          <w:p w:rsidR="00915CEB" w:rsidRPr="008E7BD4" w:rsidRDefault="00915CEB" w:rsidP="00C03FE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E7BD4">
              <w:rPr>
                <w:sz w:val="20"/>
              </w:rPr>
              <w:t xml:space="preserve">6 at the high school, </w:t>
            </w:r>
          </w:p>
          <w:p w:rsidR="00915CEB" w:rsidRPr="008E7BD4" w:rsidRDefault="00915CEB" w:rsidP="00C03FE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E7BD4">
              <w:rPr>
                <w:sz w:val="20"/>
              </w:rPr>
              <w:t>4 at the middle school,</w:t>
            </w:r>
          </w:p>
          <w:p w:rsidR="00915CEB" w:rsidRPr="008E7BD4" w:rsidRDefault="00915CEB" w:rsidP="00C03FE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E7BD4">
              <w:rPr>
                <w:sz w:val="20"/>
              </w:rPr>
              <w:t xml:space="preserve">5 at each of the 2 elementary schools.  </w:t>
            </w:r>
          </w:p>
        </w:tc>
        <w:tc>
          <w:tcPr>
            <w:tcW w:w="189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 xml:space="preserve">The estimated cost of these awards is $20,000. </w:t>
            </w:r>
          </w:p>
        </w:tc>
        <w:tc>
          <w:tcPr>
            <w:tcW w:w="1890" w:type="dxa"/>
          </w:tcPr>
          <w:p w:rsidR="00915CEB" w:rsidRPr="008E7BD4" w:rsidRDefault="00915CEB" w:rsidP="00C03FE6">
            <w:pPr>
              <w:rPr>
                <w:sz w:val="20"/>
              </w:rPr>
            </w:pPr>
            <w:r w:rsidRPr="008E7BD4">
              <w:rPr>
                <w:sz w:val="20"/>
              </w:rPr>
              <w:t>This will compromise about 2% of district salary expenditures.</w:t>
            </w:r>
          </w:p>
        </w:tc>
      </w:tr>
      <w:tr w:rsidR="009879A9" w:rsidRPr="008E7BD4" w:rsidTr="00C03FE6">
        <w:trPr>
          <w:trHeight w:val="260"/>
        </w:trPr>
        <w:tc>
          <w:tcPr>
            <w:tcW w:w="1548" w:type="dxa"/>
          </w:tcPr>
          <w:p w:rsidR="009879A9" w:rsidRPr="008E7BD4" w:rsidRDefault="009879A9" w:rsidP="00C03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</w:p>
        </w:tc>
        <w:tc>
          <w:tcPr>
            <w:tcW w:w="2970" w:type="dxa"/>
          </w:tcPr>
          <w:p w:rsidR="008957D9" w:rsidRDefault="009879A9" w:rsidP="008957D9">
            <w:pPr>
              <w:rPr>
                <w:sz w:val="20"/>
              </w:rPr>
            </w:pPr>
            <w:r>
              <w:rPr>
                <w:sz w:val="20"/>
              </w:rPr>
              <w:t xml:space="preserve">The district </w:t>
            </w:r>
            <w:r w:rsidR="00E14063">
              <w:rPr>
                <w:sz w:val="20"/>
              </w:rPr>
              <w:t>will</w:t>
            </w:r>
            <w:r>
              <w:rPr>
                <w:sz w:val="20"/>
              </w:rPr>
              <w:t xml:space="preserve"> </w:t>
            </w:r>
            <w:r w:rsidR="00E14063">
              <w:rPr>
                <w:sz w:val="20"/>
              </w:rPr>
              <w:t>include Bachelor</w:t>
            </w:r>
            <w:r w:rsidR="00382D27">
              <w:rPr>
                <w:sz w:val="20"/>
              </w:rPr>
              <w:t>’</w:t>
            </w:r>
            <w:r w:rsidR="00E14063">
              <w:rPr>
                <w:sz w:val="20"/>
              </w:rPr>
              <w:t>s and Master</w:t>
            </w:r>
            <w:r w:rsidR="00382D27">
              <w:rPr>
                <w:sz w:val="20"/>
              </w:rPr>
              <w:t>’</w:t>
            </w:r>
            <w:r w:rsidR="00E14063">
              <w:rPr>
                <w:sz w:val="20"/>
              </w:rPr>
              <w:t xml:space="preserve">s degrees for eligible base pay compensation as shown in the attached 2014-15 salary schedule. Degrees above </w:t>
            </w:r>
            <w:r w:rsidR="00542B77">
              <w:rPr>
                <w:sz w:val="20"/>
              </w:rPr>
              <w:t xml:space="preserve">a </w:t>
            </w:r>
            <w:r w:rsidR="00E14063">
              <w:rPr>
                <w:sz w:val="20"/>
              </w:rPr>
              <w:t>Master</w:t>
            </w:r>
            <w:r w:rsidR="00382D27">
              <w:rPr>
                <w:sz w:val="20"/>
              </w:rPr>
              <w:t>’</w:t>
            </w:r>
            <w:r w:rsidR="00E14063">
              <w:rPr>
                <w:sz w:val="20"/>
              </w:rPr>
              <w:t xml:space="preserve">s will no longer be compensated in base pay. </w:t>
            </w:r>
          </w:p>
          <w:p w:rsidR="00542B77" w:rsidRDefault="00542B77" w:rsidP="008957D9">
            <w:pPr>
              <w:rPr>
                <w:sz w:val="20"/>
              </w:rPr>
            </w:pPr>
          </w:p>
          <w:p w:rsidR="00E14063" w:rsidRPr="008957D9" w:rsidRDefault="00E14063" w:rsidP="008957D9">
            <w:pPr>
              <w:rPr>
                <w:sz w:val="20"/>
              </w:rPr>
            </w:pPr>
            <w:r>
              <w:rPr>
                <w:sz w:val="20"/>
              </w:rPr>
              <w:t>Advanced degrees above Master</w:t>
            </w:r>
            <w:r w:rsidR="00382D27">
              <w:rPr>
                <w:sz w:val="20"/>
              </w:rPr>
              <w:t>’</w:t>
            </w:r>
            <w:r>
              <w:rPr>
                <w:sz w:val="20"/>
              </w:rPr>
              <w:t>s degree will be eligible for tuition reimbursement with district pre-approval.</w:t>
            </w:r>
          </w:p>
          <w:p w:rsidR="008957D9" w:rsidRDefault="008957D9" w:rsidP="008957D9">
            <w:pPr>
              <w:rPr>
                <w:sz w:val="20"/>
              </w:rPr>
            </w:pPr>
          </w:p>
          <w:p w:rsidR="008957D9" w:rsidRDefault="008957D9" w:rsidP="008957D9">
            <w:pPr>
              <w:rPr>
                <w:sz w:val="20"/>
              </w:rPr>
            </w:pPr>
          </w:p>
          <w:p w:rsidR="008957D9" w:rsidRDefault="008957D9" w:rsidP="008957D9">
            <w:pPr>
              <w:rPr>
                <w:sz w:val="20"/>
              </w:rPr>
            </w:pPr>
          </w:p>
          <w:p w:rsidR="008957D9" w:rsidRDefault="008957D9" w:rsidP="008957D9">
            <w:pPr>
              <w:rPr>
                <w:sz w:val="20"/>
              </w:rPr>
            </w:pPr>
          </w:p>
          <w:p w:rsidR="009879A9" w:rsidRPr="008957D9" w:rsidRDefault="009879A9" w:rsidP="008957D9">
            <w:pPr>
              <w:jc w:val="right"/>
              <w:rPr>
                <w:sz w:val="20"/>
              </w:rPr>
            </w:pPr>
          </w:p>
        </w:tc>
        <w:tc>
          <w:tcPr>
            <w:tcW w:w="2880" w:type="dxa"/>
          </w:tcPr>
          <w:p w:rsidR="009879A9" w:rsidRDefault="009879A9" w:rsidP="00C03FE6">
            <w:pPr>
              <w:rPr>
                <w:sz w:val="20"/>
              </w:rPr>
            </w:pPr>
            <w:r>
              <w:rPr>
                <w:sz w:val="20"/>
              </w:rPr>
              <w:t xml:space="preserve">Master’s degrees will be awarded with a base pay increase.  </w:t>
            </w:r>
          </w:p>
          <w:p w:rsidR="009879A9" w:rsidRDefault="009879A9" w:rsidP="00C03FE6">
            <w:pPr>
              <w:rPr>
                <w:sz w:val="20"/>
              </w:rPr>
            </w:pPr>
          </w:p>
          <w:p w:rsidR="009879A9" w:rsidRDefault="00E14063" w:rsidP="00382D27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9879A9">
              <w:rPr>
                <w:sz w:val="20"/>
              </w:rPr>
              <w:t xml:space="preserve">uition reimbursement stipends of $4,000 per year per </w:t>
            </w:r>
            <w:r>
              <w:rPr>
                <w:sz w:val="20"/>
              </w:rPr>
              <w:t>individual for advanced degrees above Master</w:t>
            </w:r>
            <w:r w:rsidR="00542B77">
              <w:rPr>
                <w:sz w:val="20"/>
              </w:rPr>
              <w:t>’</w:t>
            </w:r>
            <w:r>
              <w:rPr>
                <w:sz w:val="20"/>
              </w:rPr>
              <w:t>s</w:t>
            </w:r>
            <w:r w:rsidR="009879A9">
              <w:rPr>
                <w:sz w:val="20"/>
              </w:rPr>
              <w:t>.  The district must be notified in advance of the start of a program by the educator in order to receive the stipend.</w:t>
            </w:r>
          </w:p>
          <w:p w:rsidR="009879A9" w:rsidRDefault="009879A9" w:rsidP="00382D27">
            <w:pPr>
              <w:rPr>
                <w:sz w:val="20"/>
              </w:rPr>
            </w:pPr>
          </w:p>
          <w:p w:rsidR="009879A9" w:rsidRPr="008E7BD4" w:rsidRDefault="009879A9" w:rsidP="00436223">
            <w:pPr>
              <w:rPr>
                <w:sz w:val="20"/>
              </w:rPr>
            </w:pPr>
            <w:r>
              <w:rPr>
                <w:sz w:val="20"/>
              </w:rPr>
              <w:t>Those teachers currently enrolled in programs prior to July 1, 2014 will</w:t>
            </w:r>
            <w:r w:rsidR="00E14063">
              <w:rPr>
                <w:sz w:val="20"/>
              </w:rPr>
              <w:t xml:space="preserve"> be eligible for base pay increase</w:t>
            </w:r>
            <w:r w:rsidR="00436223">
              <w:rPr>
                <w:sz w:val="20"/>
              </w:rPr>
              <w:t>s</w:t>
            </w:r>
            <w:r w:rsidR="00E14063">
              <w:rPr>
                <w:sz w:val="20"/>
              </w:rPr>
              <w:t xml:space="preserve"> </w:t>
            </w:r>
            <w:r>
              <w:rPr>
                <w:sz w:val="20"/>
              </w:rPr>
              <w:t>on the previous</w:t>
            </w:r>
            <w:r w:rsidR="00542B77">
              <w:rPr>
                <w:sz w:val="20"/>
              </w:rPr>
              <w:t xml:space="preserve"> year’s</w:t>
            </w:r>
            <w:r>
              <w:rPr>
                <w:sz w:val="20"/>
              </w:rPr>
              <w:t xml:space="preserve"> schedule</w:t>
            </w:r>
            <w:r w:rsidR="00436223">
              <w:rPr>
                <w:sz w:val="20"/>
              </w:rPr>
              <w:t>, provided that those programs are completed by July 1, 2016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790" w:type="dxa"/>
          </w:tcPr>
          <w:p w:rsidR="009879A9" w:rsidRDefault="009879A9" w:rsidP="00C03FE6">
            <w:pPr>
              <w:rPr>
                <w:sz w:val="20"/>
              </w:rPr>
            </w:pPr>
            <w:r>
              <w:rPr>
                <w:sz w:val="20"/>
              </w:rPr>
              <w:t xml:space="preserve">The district currently has </w:t>
            </w:r>
            <w:r w:rsidR="004B6064">
              <w:rPr>
                <w:sz w:val="20"/>
              </w:rPr>
              <w:t xml:space="preserve">15% of its teachers with an advanced degree above the Master’s Level.  </w:t>
            </w:r>
          </w:p>
          <w:p w:rsidR="004B6064" w:rsidRDefault="004B6064" w:rsidP="00C03FE6">
            <w:pPr>
              <w:rPr>
                <w:sz w:val="20"/>
              </w:rPr>
            </w:pPr>
          </w:p>
          <w:p w:rsidR="004B6064" w:rsidRPr="008E7BD4" w:rsidRDefault="004B6064" w:rsidP="00C03FE6">
            <w:pPr>
              <w:rPr>
                <w:sz w:val="20"/>
              </w:rPr>
            </w:pPr>
            <w:r>
              <w:rPr>
                <w:sz w:val="20"/>
              </w:rPr>
              <w:t>We anticipate based on previous data that approximately 10-12 teacher</w:t>
            </w:r>
            <w:r w:rsidR="00542B77">
              <w:rPr>
                <w:sz w:val="20"/>
              </w:rPr>
              <w:t>s</w:t>
            </w:r>
            <w:r>
              <w:rPr>
                <w:sz w:val="20"/>
              </w:rPr>
              <w:t xml:space="preserve"> will qualify for tuition reimbursement stipends each year. </w:t>
            </w:r>
          </w:p>
        </w:tc>
        <w:tc>
          <w:tcPr>
            <w:tcW w:w="1890" w:type="dxa"/>
          </w:tcPr>
          <w:p w:rsidR="009879A9" w:rsidRDefault="004B6064" w:rsidP="00C03FE6">
            <w:pPr>
              <w:rPr>
                <w:sz w:val="20"/>
              </w:rPr>
            </w:pPr>
            <w:r>
              <w:rPr>
                <w:sz w:val="20"/>
              </w:rPr>
              <w:t xml:space="preserve">This estimated total cost of this element is $40,000-48,000 per year. </w:t>
            </w:r>
          </w:p>
          <w:p w:rsidR="004B6064" w:rsidRDefault="004B6064" w:rsidP="00C03FE6">
            <w:pPr>
              <w:rPr>
                <w:sz w:val="20"/>
              </w:rPr>
            </w:pPr>
          </w:p>
          <w:p w:rsidR="004B6064" w:rsidRPr="008E7BD4" w:rsidRDefault="004B6064" w:rsidP="004B6064">
            <w:pPr>
              <w:rPr>
                <w:sz w:val="20"/>
              </w:rPr>
            </w:pPr>
            <w:r>
              <w:rPr>
                <w:sz w:val="20"/>
              </w:rPr>
              <w:t xml:space="preserve">The district expects to fund this cost by limiting permanent base pay increases to Master’s degrees only. </w:t>
            </w:r>
          </w:p>
        </w:tc>
        <w:tc>
          <w:tcPr>
            <w:tcW w:w="1890" w:type="dxa"/>
          </w:tcPr>
          <w:p w:rsidR="009879A9" w:rsidRPr="008E7BD4" w:rsidRDefault="004B6064" w:rsidP="00436223">
            <w:pPr>
              <w:rPr>
                <w:sz w:val="20"/>
              </w:rPr>
            </w:pPr>
            <w:r>
              <w:rPr>
                <w:sz w:val="20"/>
              </w:rPr>
              <w:t xml:space="preserve">This will comprise about 8% of district salary expenditures. </w:t>
            </w:r>
          </w:p>
        </w:tc>
      </w:tr>
      <w:tr w:rsidR="009879A9" w:rsidRPr="008E7BD4" w:rsidTr="00C03FE6">
        <w:trPr>
          <w:trHeight w:val="260"/>
        </w:trPr>
        <w:tc>
          <w:tcPr>
            <w:tcW w:w="1548" w:type="dxa"/>
          </w:tcPr>
          <w:p w:rsidR="009879A9" w:rsidRPr="008E7BD4" w:rsidRDefault="009879A9" w:rsidP="00C03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Experience </w:t>
            </w:r>
          </w:p>
        </w:tc>
        <w:tc>
          <w:tcPr>
            <w:tcW w:w="2970" w:type="dxa"/>
          </w:tcPr>
          <w:p w:rsidR="009879A9" w:rsidRDefault="004B6064" w:rsidP="00C03FE6">
            <w:pPr>
              <w:rPr>
                <w:sz w:val="20"/>
              </w:rPr>
            </w:pPr>
            <w:r>
              <w:rPr>
                <w:sz w:val="20"/>
              </w:rPr>
              <w:t xml:space="preserve">The district will continue to award step increases for each </w:t>
            </w:r>
            <w:r>
              <w:rPr>
                <w:sz w:val="20"/>
              </w:rPr>
              <w:lastRenderedPageBreak/>
              <w:t>year of experience.</w:t>
            </w:r>
          </w:p>
          <w:p w:rsidR="004B6064" w:rsidRDefault="004B6064" w:rsidP="00C03FE6">
            <w:pPr>
              <w:rPr>
                <w:sz w:val="20"/>
              </w:rPr>
            </w:pPr>
          </w:p>
          <w:p w:rsidR="004B6064" w:rsidRPr="008E7BD4" w:rsidRDefault="004B6064" w:rsidP="00C03FE6">
            <w:pPr>
              <w:rPr>
                <w:sz w:val="20"/>
              </w:rPr>
            </w:pPr>
            <w:r>
              <w:rPr>
                <w:sz w:val="20"/>
              </w:rPr>
              <w:t xml:space="preserve">The attached salary schedule contains proposed amounts. </w:t>
            </w:r>
          </w:p>
        </w:tc>
        <w:tc>
          <w:tcPr>
            <w:tcW w:w="2880" w:type="dxa"/>
          </w:tcPr>
          <w:p w:rsidR="009879A9" w:rsidRPr="008E7BD4" w:rsidRDefault="004B6064" w:rsidP="00C03FE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Each teacher will earn a yearly step increase for years of </w:t>
            </w:r>
            <w:r>
              <w:rPr>
                <w:sz w:val="20"/>
              </w:rPr>
              <w:lastRenderedPageBreak/>
              <w:t xml:space="preserve">experience. </w:t>
            </w:r>
          </w:p>
        </w:tc>
        <w:tc>
          <w:tcPr>
            <w:tcW w:w="2790" w:type="dxa"/>
          </w:tcPr>
          <w:p w:rsidR="009879A9" w:rsidRPr="008E7BD4" w:rsidRDefault="004B6064" w:rsidP="00C03FE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All teachers are eligible. </w:t>
            </w:r>
          </w:p>
        </w:tc>
        <w:tc>
          <w:tcPr>
            <w:tcW w:w="1890" w:type="dxa"/>
          </w:tcPr>
          <w:p w:rsidR="009879A9" w:rsidRPr="008E7BD4" w:rsidRDefault="00C40462" w:rsidP="00C03FE6">
            <w:pPr>
              <w:rPr>
                <w:sz w:val="20"/>
              </w:rPr>
            </w:pPr>
            <w:r>
              <w:rPr>
                <w:sz w:val="20"/>
              </w:rPr>
              <w:t xml:space="preserve">The average step increase in the </w:t>
            </w:r>
            <w:r>
              <w:rPr>
                <w:sz w:val="20"/>
              </w:rPr>
              <w:lastRenderedPageBreak/>
              <w:t xml:space="preserve">district is $400 per year.  The estimated cost is $100,000 </w:t>
            </w:r>
          </w:p>
        </w:tc>
        <w:tc>
          <w:tcPr>
            <w:tcW w:w="1890" w:type="dxa"/>
          </w:tcPr>
          <w:p w:rsidR="009879A9" w:rsidRPr="008E7BD4" w:rsidRDefault="00C40462" w:rsidP="00C4046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This experience payment makes up </w:t>
            </w:r>
            <w:r>
              <w:rPr>
                <w:sz w:val="20"/>
              </w:rPr>
              <w:lastRenderedPageBreak/>
              <w:t xml:space="preserve">20% of the districts expenditures on salary.  </w:t>
            </w:r>
          </w:p>
        </w:tc>
      </w:tr>
    </w:tbl>
    <w:p w:rsidR="00915CEB" w:rsidRPr="00311A74" w:rsidRDefault="00915CEB" w:rsidP="00C82A10">
      <w:pPr>
        <w:rPr>
          <w:b/>
        </w:rPr>
      </w:pPr>
    </w:p>
    <w:sectPr w:rsidR="00915CEB" w:rsidRPr="00311A74" w:rsidSect="00E70923">
      <w:headerReference w:type="default" r:id="rId14"/>
      <w:footerReference w:type="default" r:id="rId15"/>
      <w:headerReference w:type="first" r:id="rId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FFBF43" w15:done="0"/>
  <w15:commentEx w15:paraId="40595A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A5" w:rsidRDefault="00253BA5" w:rsidP="003215FF">
      <w:pPr>
        <w:spacing w:after="0" w:line="240" w:lineRule="auto"/>
      </w:pPr>
      <w:r>
        <w:separator/>
      </w:r>
    </w:p>
  </w:endnote>
  <w:endnote w:type="continuationSeparator" w:id="0">
    <w:p w:rsidR="00253BA5" w:rsidRDefault="00253BA5" w:rsidP="0032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671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CEB" w:rsidRDefault="00D234C7">
        <w:pPr>
          <w:pStyle w:val="Footer"/>
          <w:jc w:val="right"/>
        </w:pPr>
        <w:r>
          <w:fldChar w:fldCharType="begin"/>
        </w:r>
        <w:r w:rsidR="00915CEB">
          <w:instrText xml:space="preserve"> PAGE   \* MERGEFORMAT </w:instrText>
        </w:r>
        <w:r>
          <w:fldChar w:fldCharType="separate"/>
        </w:r>
        <w:r w:rsidR="00D83E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5B3A" w:rsidRDefault="00F55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A5" w:rsidRDefault="00253BA5" w:rsidP="003215FF">
      <w:pPr>
        <w:spacing w:after="0" w:line="240" w:lineRule="auto"/>
      </w:pPr>
      <w:r>
        <w:separator/>
      </w:r>
    </w:p>
  </w:footnote>
  <w:footnote w:type="continuationSeparator" w:id="0">
    <w:p w:rsidR="00253BA5" w:rsidRDefault="00253BA5" w:rsidP="003215FF">
      <w:pPr>
        <w:spacing w:after="0" w:line="240" w:lineRule="auto"/>
      </w:pPr>
      <w:r>
        <w:continuationSeparator/>
      </w:r>
    </w:p>
  </w:footnote>
  <w:footnote w:id="1">
    <w:p w:rsidR="00882183" w:rsidRPr="00DA7A4E" w:rsidRDefault="00882183">
      <w:pPr>
        <w:pStyle w:val="FootnoteText"/>
        <w:rPr>
          <w:sz w:val="16"/>
          <w:szCs w:val="18"/>
        </w:rPr>
      </w:pPr>
      <w:r w:rsidRPr="00DA7A4E">
        <w:rPr>
          <w:rStyle w:val="FootnoteReference"/>
          <w:szCs w:val="18"/>
        </w:rPr>
        <w:footnoteRef/>
      </w:r>
      <w:r w:rsidRPr="00DA7A4E">
        <w:rPr>
          <w:szCs w:val="18"/>
        </w:rPr>
        <w:t xml:space="preserve"> If you are unsure as to whether your plan is a traditional </w:t>
      </w:r>
      <w:r w:rsidR="00DA7A4E" w:rsidRPr="00DA7A4E">
        <w:rPr>
          <w:szCs w:val="18"/>
        </w:rPr>
        <w:t xml:space="preserve">salary </w:t>
      </w:r>
      <w:r w:rsidRPr="00DA7A4E">
        <w:rPr>
          <w:szCs w:val="18"/>
        </w:rPr>
        <w:t xml:space="preserve">schedule or an alternative </w:t>
      </w:r>
      <w:r w:rsidR="00DA7A4E" w:rsidRPr="00DA7A4E">
        <w:rPr>
          <w:szCs w:val="18"/>
        </w:rPr>
        <w:t xml:space="preserve">salary </w:t>
      </w:r>
      <w:r w:rsidRPr="00DA7A4E">
        <w:rPr>
          <w:szCs w:val="18"/>
        </w:rPr>
        <w:t xml:space="preserve">schedule, please contact </w:t>
      </w:r>
      <w:hyperlink r:id="rId1" w:history="1">
        <w:r w:rsidRPr="00DA7A4E">
          <w:rPr>
            <w:rStyle w:val="Hyperlink"/>
            <w:szCs w:val="18"/>
          </w:rPr>
          <w:t>Laura.Encalade@tn.gov</w:t>
        </w:r>
      </w:hyperlink>
      <w:r w:rsidR="00DA7A4E" w:rsidRPr="00DA7A4E">
        <w:rPr>
          <w:szCs w:val="18"/>
        </w:rPr>
        <w:t xml:space="preserve">.  </w:t>
      </w:r>
    </w:p>
  </w:footnote>
  <w:footnote w:id="2">
    <w:p w:rsidR="00382D27" w:rsidRDefault="00382D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F06E2">
        <w:t xml:space="preserve">This differentiated element would qualify as an alternative salary schedule, and the district would need to complete the </w:t>
      </w:r>
      <w:hyperlink w:anchor="alt_addendum" w:history="1">
        <w:r w:rsidR="00CF06E2" w:rsidRPr="00CF06E2">
          <w:rPr>
            <w:rStyle w:val="Hyperlink"/>
          </w:rPr>
          <w:t>Alternative Salary Schedule section</w:t>
        </w:r>
      </w:hyperlink>
      <w:r w:rsidR="00CF06E2">
        <w:t xml:space="preserve"> on page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23" w:rsidRDefault="00E70923" w:rsidP="00E70923">
    <w:pPr>
      <w:pStyle w:val="Header"/>
      <w:jc w:val="center"/>
    </w:pPr>
  </w:p>
  <w:p w:rsidR="00E70923" w:rsidRDefault="00E70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23" w:rsidRDefault="00E70923" w:rsidP="00E70923">
    <w:pPr>
      <w:pStyle w:val="Header"/>
      <w:jc w:val="center"/>
    </w:pPr>
    <w:r>
      <w:rPr>
        <w:noProof/>
      </w:rPr>
      <w:drawing>
        <wp:inline distT="0" distB="0" distL="0" distR="0" wp14:anchorId="6CDCF1B8" wp14:editId="73320E36">
          <wp:extent cx="2266950" cy="4257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5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CCD"/>
    <w:multiLevelType w:val="hybridMultilevel"/>
    <w:tmpl w:val="06C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1FC"/>
    <w:multiLevelType w:val="hybridMultilevel"/>
    <w:tmpl w:val="5B0EACBC"/>
    <w:lvl w:ilvl="0" w:tplc="53C42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061D"/>
    <w:multiLevelType w:val="hybridMultilevel"/>
    <w:tmpl w:val="6B7AC83C"/>
    <w:lvl w:ilvl="0" w:tplc="49467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165DF"/>
    <w:multiLevelType w:val="hybridMultilevel"/>
    <w:tmpl w:val="DC00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F6296"/>
    <w:multiLevelType w:val="hybridMultilevel"/>
    <w:tmpl w:val="AA0A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021FF"/>
    <w:multiLevelType w:val="hybridMultilevel"/>
    <w:tmpl w:val="E120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7E49"/>
    <w:multiLevelType w:val="hybridMultilevel"/>
    <w:tmpl w:val="EF7C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S. Huffman">
    <w15:presenceInfo w15:providerId="AD" w15:userId="S-1-5-21-2149558826-3324038498-27948981-151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0D"/>
    <w:rsid w:val="00022298"/>
    <w:rsid w:val="00041CA9"/>
    <w:rsid w:val="00066419"/>
    <w:rsid w:val="000C4F76"/>
    <w:rsid w:val="000C60D1"/>
    <w:rsid w:val="000D6F61"/>
    <w:rsid w:val="000F464A"/>
    <w:rsid w:val="001B306F"/>
    <w:rsid w:val="001B6E8E"/>
    <w:rsid w:val="001F62B5"/>
    <w:rsid w:val="001F65DA"/>
    <w:rsid w:val="002312EF"/>
    <w:rsid w:val="00240F03"/>
    <w:rsid w:val="0024526F"/>
    <w:rsid w:val="00253BA5"/>
    <w:rsid w:val="00261866"/>
    <w:rsid w:val="00265BA9"/>
    <w:rsid w:val="00297175"/>
    <w:rsid w:val="002B14ED"/>
    <w:rsid w:val="002E1968"/>
    <w:rsid w:val="00306C07"/>
    <w:rsid w:val="00311A74"/>
    <w:rsid w:val="00316E02"/>
    <w:rsid w:val="00317709"/>
    <w:rsid w:val="003215FF"/>
    <w:rsid w:val="00336231"/>
    <w:rsid w:val="003366C4"/>
    <w:rsid w:val="00341C79"/>
    <w:rsid w:val="00355136"/>
    <w:rsid w:val="00382D27"/>
    <w:rsid w:val="004316B9"/>
    <w:rsid w:val="00436223"/>
    <w:rsid w:val="00440684"/>
    <w:rsid w:val="00456533"/>
    <w:rsid w:val="004A0248"/>
    <w:rsid w:val="004B6064"/>
    <w:rsid w:val="00506E4A"/>
    <w:rsid w:val="005144F2"/>
    <w:rsid w:val="00532F04"/>
    <w:rsid w:val="00537BB2"/>
    <w:rsid w:val="00542B77"/>
    <w:rsid w:val="0059076A"/>
    <w:rsid w:val="005A0335"/>
    <w:rsid w:val="005E132E"/>
    <w:rsid w:val="005E2D13"/>
    <w:rsid w:val="005F3E8A"/>
    <w:rsid w:val="005F66AC"/>
    <w:rsid w:val="00603FD4"/>
    <w:rsid w:val="006C6ECC"/>
    <w:rsid w:val="006D2838"/>
    <w:rsid w:val="006D7835"/>
    <w:rsid w:val="006E4673"/>
    <w:rsid w:val="006F2E42"/>
    <w:rsid w:val="007360F9"/>
    <w:rsid w:val="00756BC5"/>
    <w:rsid w:val="00762134"/>
    <w:rsid w:val="007A15C5"/>
    <w:rsid w:val="007B500D"/>
    <w:rsid w:val="007C6003"/>
    <w:rsid w:val="007D50FB"/>
    <w:rsid w:val="00811529"/>
    <w:rsid w:val="00856B40"/>
    <w:rsid w:val="0086113D"/>
    <w:rsid w:val="00864226"/>
    <w:rsid w:val="00880C30"/>
    <w:rsid w:val="00881A38"/>
    <w:rsid w:val="00882183"/>
    <w:rsid w:val="00887F7C"/>
    <w:rsid w:val="008957D9"/>
    <w:rsid w:val="008973DC"/>
    <w:rsid w:val="008E6474"/>
    <w:rsid w:val="008E7BD4"/>
    <w:rsid w:val="00915CEB"/>
    <w:rsid w:val="00984E03"/>
    <w:rsid w:val="009879A9"/>
    <w:rsid w:val="0099350D"/>
    <w:rsid w:val="009D25C7"/>
    <w:rsid w:val="00A448D2"/>
    <w:rsid w:val="00A640EE"/>
    <w:rsid w:val="00A82BF2"/>
    <w:rsid w:val="00A8391A"/>
    <w:rsid w:val="00B55723"/>
    <w:rsid w:val="00B82803"/>
    <w:rsid w:val="00BA7B60"/>
    <w:rsid w:val="00BD12F8"/>
    <w:rsid w:val="00BE460D"/>
    <w:rsid w:val="00BF65E6"/>
    <w:rsid w:val="00C163D6"/>
    <w:rsid w:val="00C31018"/>
    <w:rsid w:val="00C40462"/>
    <w:rsid w:val="00C74479"/>
    <w:rsid w:val="00C82A10"/>
    <w:rsid w:val="00CC32E0"/>
    <w:rsid w:val="00CD6107"/>
    <w:rsid w:val="00CD65A0"/>
    <w:rsid w:val="00CE009D"/>
    <w:rsid w:val="00CF06E2"/>
    <w:rsid w:val="00CF3E88"/>
    <w:rsid w:val="00D22685"/>
    <w:rsid w:val="00D234C7"/>
    <w:rsid w:val="00D83EAC"/>
    <w:rsid w:val="00D86817"/>
    <w:rsid w:val="00D9500E"/>
    <w:rsid w:val="00DA7A4E"/>
    <w:rsid w:val="00DD29C6"/>
    <w:rsid w:val="00E14063"/>
    <w:rsid w:val="00E70923"/>
    <w:rsid w:val="00EE498B"/>
    <w:rsid w:val="00EE739B"/>
    <w:rsid w:val="00F02C4F"/>
    <w:rsid w:val="00F1216D"/>
    <w:rsid w:val="00F22F13"/>
    <w:rsid w:val="00F47838"/>
    <w:rsid w:val="00F55B3A"/>
    <w:rsid w:val="00F7164B"/>
    <w:rsid w:val="00F87D53"/>
    <w:rsid w:val="00FB3B30"/>
    <w:rsid w:val="00FC145E"/>
    <w:rsid w:val="00FE19CA"/>
    <w:rsid w:val="00FE48E4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0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15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5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5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6E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3A"/>
  </w:style>
  <w:style w:type="paragraph" w:styleId="Footer">
    <w:name w:val="footer"/>
    <w:basedOn w:val="Normal"/>
    <w:link w:val="FooterChar"/>
    <w:uiPriority w:val="99"/>
    <w:unhideWhenUsed/>
    <w:rsid w:val="00F5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0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15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5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5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6E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3A"/>
  </w:style>
  <w:style w:type="paragraph" w:styleId="Footer">
    <w:name w:val="footer"/>
    <w:basedOn w:val="Normal"/>
    <w:link w:val="FooterChar"/>
    <w:uiPriority w:val="99"/>
    <w:unhideWhenUsed/>
    <w:rsid w:val="00F5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ra.Encalade@tn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Laura.Encalade@tn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a.Encalade@tn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aura.Encalade@tn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n.gov/sbe/2013_documents/June2013_Board_Meeting/III_C_Differentiated_Pay_Plan_Cover_Sheet.pdf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.Encalade@tn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F377-220E-47CC-A356-0545B3E3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Encalade</dc:creator>
  <cp:lastModifiedBy>Laura Encalade</cp:lastModifiedBy>
  <cp:revision>3</cp:revision>
  <cp:lastPrinted>2013-10-09T15:06:00Z</cp:lastPrinted>
  <dcterms:created xsi:type="dcterms:W3CDTF">2013-12-27T20:50:00Z</dcterms:created>
  <dcterms:modified xsi:type="dcterms:W3CDTF">2014-01-06T16:54:00Z</dcterms:modified>
</cp:coreProperties>
</file>